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先进制造业集群发展的重点方向和领域</w:t>
      </w:r>
      <w:bookmarkEnd w:id="0"/>
    </w:p>
    <w:p>
      <w:pPr>
        <w:ind w:right="776" w:firstLine="0"/>
        <w:rPr>
          <w:rFonts w:hint="eastAsia" w:eastAsia="方正黑体_GBK"/>
        </w:rPr>
      </w:pPr>
    </w:p>
    <w:tbl>
      <w:tblPr>
        <w:tblStyle w:val="2"/>
        <w:tblW w:w="88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947"/>
        <w:gridCol w:w="50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snapToGrid/>
                <w:color w:val="000000"/>
                <w:sz w:val="24"/>
                <w:szCs w:val="24"/>
              </w:rPr>
              <w:t>集群</w:t>
            </w:r>
          </w:p>
        </w:tc>
        <w:tc>
          <w:tcPr>
            <w:tcW w:w="5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snapToGrid/>
                <w:color w:val="000000"/>
                <w:sz w:val="24"/>
                <w:szCs w:val="24"/>
              </w:rPr>
              <w:t>重点方向和领域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新型电力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和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新能源装备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智能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电网、特高压设备、晶硅光伏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风电装备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氢能装备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工程机械和农业机械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起重机械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挖掘机械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路面机械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应急机械和农业机械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物联网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北斗导航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信息感知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传输组网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处理应用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高端新材料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先进碳材料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纳米新材料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先进电子材料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特钢材料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化工新材料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高端纺织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化学纤维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品牌服装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家用纺织品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、产业纺织品。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生物医药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生物药、化学药、现代中药。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新型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医疗器械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高性能诊疗设备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体外诊断设备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医用机器人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高端植介入耗材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生命支持设备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集成电路与新型显示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集成电路、</w:t>
            </w:r>
            <w:r>
              <w:rPr>
                <w:rFonts w:eastAsia="宋体"/>
                <w:snapToGrid/>
                <w:color w:val="000000"/>
                <w:sz w:val="24"/>
                <w:szCs w:val="24"/>
              </w:rPr>
              <w:t>新型显示。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信息通信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移动通信、光通信、未来网络。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新能源</w:t>
            </w: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（智能网联）汽车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智能网联汽车、动力电池、氢燃料电池、充换电网络。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高端装备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高档数控机床、智能机器人、轨道交通装备、民用航空航天装备、特色专用装备。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高技术船舶和海洋工程装备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高技术船舶、豪华游轮、海洋工程装备。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节能环保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高级节能装备、水污染防治设备、大气污染防治设备、固体废弃物处理设备。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绿色食品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酿造食品、肉制食品、功能食品。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核心软件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工业软件、基础软件、信息安全软件、信息技术应用创新。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jc w:val="center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eastAsia="宋体"/>
                <w:snapToGrid/>
                <w:color w:val="000000"/>
                <w:sz w:val="24"/>
                <w:szCs w:val="24"/>
              </w:rPr>
              <w:t>新兴数字产业</w:t>
            </w:r>
          </w:p>
        </w:tc>
        <w:tc>
          <w:tcPr>
            <w:tcW w:w="5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line="240" w:lineRule="auto"/>
              <w:ind w:firstLine="0"/>
              <w:rPr>
                <w:rFonts w:hint="eastAsia" w:eastAsia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napToGrid/>
                <w:color w:val="000000"/>
                <w:sz w:val="24"/>
                <w:szCs w:val="24"/>
              </w:rPr>
              <w:t>大数据云计算、人工智能、区块链。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3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2022-08-18T09:11:26Z</dcterms:created>
  <dc:creator>陈钟文</dc:creator>
  <cp:lastModifiedBy>陈钟文</cp:lastModifiedBy>
  <dcterms:modified xsi:type="dcterms:W3CDTF">2022-08-18T09:11:37Z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