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2F4" w:rsidRPr="007102F4" w:rsidRDefault="007102F4" w:rsidP="007102F4">
      <w:pPr>
        <w:spacing w:line="360" w:lineRule="auto"/>
        <w:jc w:val="center"/>
        <w:rPr>
          <w:rFonts w:ascii="黑体" w:eastAsia="黑体" w:hAnsi="黑体"/>
          <w:sz w:val="28"/>
          <w:szCs w:val="28"/>
        </w:rPr>
      </w:pPr>
      <w:bookmarkStart w:id="0" w:name="_GoBack"/>
      <w:r w:rsidRPr="007102F4">
        <w:rPr>
          <w:rFonts w:ascii="黑体" w:eastAsia="黑体" w:hAnsi="黑体" w:hint="eastAsia"/>
          <w:sz w:val="28"/>
          <w:szCs w:val="28"/>
        </w:rPr>
        <w:t>糖脂代谢的时空网络调控重大研究计划</w:t>
      </w:r>
      <w:r w:rsidRPr="007102F4">
        <w:rPr>
          <w:rFonts w:ascii="黑体" w:eastAsia="黑体" w:hAnsi="黑体"/>
          <w:sz w:val="28"/>
          <w:szCs w:val="28"/>
        </w:rPr>
        <w:t>2023年度项目指南</w:t>
      </w:r>
      <w:bookmarkEnd w:id="0"/>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糖脂代谢是机体能量与物质来源的重要生命过程，其稳态平衡是机体应对内外时空环境变化的重要保障。糖脂代谢失衡直接导致各类疾病的发生。随着多组学、基因编辑、单细胞和单分子等科学技术的飞速发展，糖脂代谢研究正在经历从分子水平向网络互作集成、从静态到动态、从单器官到组织间应答协调等方面的纵深发展。同时，基础研究与健康生活方式指导、新药研发及临床疾病诊治的交叉融合不断加深。近年来我国在糖脂代谢前沿基础研究、应用转化研发和代谢性疾病临床研究等方面已取得若干重大进展，然而对糖脂代谢的核心机制、时空特征、代谢过程的微观途径与生物个体宏观表型的联系、代谢网络中局部调控与全局响应、代谢稳态维持和环境适应等认识仍很匮乏，因此对于糖脂代谢时空网络的研究具有重要意义。</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一、科学目标</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以糖脂代谢的时空网络调控为研究核心，揭示机体、器官、细胞和亚细胞结构对糖脂代谢状态的感知与应答模式；解析调节代谢稳态的组织器官间的信息对话与协同调控网络；发现重要糖脂代谢物产生、运输与转化的路径和调控机制；发现糖脂代谢调控与稳态维持的新规律；阐明代谢时空变化在环境适应及生命</w:t>
      </w:r>
      <w:proofErr w:type="gramStart"/>
      <w:r w:rsidRPr="007102F4">
        <w:rPr>
          <w:rFonts w:ascii="宋体" w:eastAsia="宋体" w:hAnsi="宋体" w:hint="eastAsia"/>
          <w:sz w:val="24"/>
          <w:szCs w:val="24"/>
        </w:rPr>
        <w:t>健康中</w:t>
      </w:r>
      <w:proofErr w:type="gramEnd"/>
      <w:r w:rsidRPr="007102F4">
        <w:rPr>
          <w:rFonts w:ascii="宋体" w:eastAsia="宋体" w:hAnsi="宋体" w:hint="eastAsia"/>
          <w:sz w:val="24"/>
          <w:szCs w:val="24"/>
        </w:rPr>
        <w:t>的作用；揭示代谢稳态失衡在疾病发生发展中的核心机制，发展代谢健康新策略。</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二、核心科学问题</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糖脂代谢的核心机制、时空网络调控及其在生理病理条件下的变化规律。</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三、</w:t>
      </w:r>
      <w:r w:rsidRPr="007102F4">
        <w:rPr>
          <w:rFonts w:ascii="宋体" w:eastAsia="宋体" w:hAnsi="宋体"/>
          <w:sz w:val="24"/>
          <w:szCs w:val="24"/>
        </w:rPr>
        <w:t>2023年度资助的研究方向</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本年度以“集成项目”的形式开展资助工作，鼓励前期在糖脂代谢研究中方向相近、有较好进展的项目负责人联合申请项目。基于前期已取得的创新性成果，结合国内外相关领域的研究进展和学科发展趋势，本年度在以下研究方向开展项目集成。</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（一）糖代谢信号感知机制与生物学效应。</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围绕特定生理和应激条件下，葡萄糖及其代谢产物所行使的生物学功能，重点研究葡萄糖及其代谢物作为信号分子被感知的机制、信号传递过程和生物学功能。</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lastRenderedPageBreak/>
        <w:t xml:space="preserve">　　（二）脂代谢信号感知机制与生物学效应。</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聚集脂代谢的关键通路和调控节点，研究不同营养物质对脂代谢的调控作用，揭示脂代谢中有信号作用的重要代谢物及其感知机制，解析生理病理功能。</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（三）糖脂代谢中的细胞器互作。</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聚焦线粒体、内质网、脂滴等糖脂合成及分解代谢关键细胞器，揭示细胞器互作在糖脂合成分解代谢等过程中的动态变化和调控分子机制，解析其关键调控因子的生理病理功能。</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（四）新型激素对糖脂代谢的调控。</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围绕代谢稳态维持，发现鉴定调节糖脂代谢的新型激素及受体，揭示其生理病理功能、作用机制、信号传导途径及在跨组织器官对话中的功能。</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（五）糖脂代谢的神经调控。</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聚焦神经对糖脂稳态的调控作用，揭示</w:t>
      </w:r>
      <w:proofErr w:type="gramStart"/>
      <w:r w:rsidRPr="007102F4">
        <w:rPr>
          <w:rFonts w:ascii="宋体" w:eastAsia="宋体" w:hAnsi="宋体" w:hint="eastAsia"/>
          <w:sz w:val="24"/>
          <w:szCs w:val="24"/>
        </w:rPr>
        <w:t>脑通过</w:t>
      </w:r>
      <w:proofErr w:type="gramEnd"/>
      <w:r w:rsidRPr="007102F4">
        <w:rPr>
          <w:rFonts w:ascii="宋体" w:eastAsia="宋体" w:hAnsi="宋体" w:hint="eastAsia"/>
          <w:sz w:val="24"/>
          <w:szCs w:val="24"/>
        </w:rPr>
        <w:t>直接感知营养素调节糖脂代谢稳态的作用原理，以及不同发育阶段神经自身或经自主神经系统调控外周能量存储和消耗的机制。</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（六）微生物与宿主互作对糖脂稳态的影响。</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围绕肠道微生物的代谢产物、代谢酶与肠道组织以及重要代谢器官的相互作用，鉴定影响糖脂代谢稳态平衡的关键节点与调控机制，揭示微生物在糖脂代谢失衡等病理生理过程中的作用。</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（七）肿瘤的糖脂代谢重编程。</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围绕肿瘤细胞区别于正常细胞的无限制增殖能力，重点解析糖脂代谢重编程促进细胞周期进程的新机制。</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（八）糖脂代谢</w:t>
      </w:r>
      <w:proofErr w:type="gramStart"/>
      <w:r w:rsidRPr="007102F4">
        <w:rPr>
          <w:rFonts w:ascii="宋体" w:eastAsia="宋体" w:hAnsi="宋体" w:hint="eastAsia"/>
          <w:sz w:val="24"/>
          <w:szCs w:val="24"/>
        </w:rPr>
        <w:t>的跨代调控</w:t>
      </w:r>
      <w:proofErr w:type="gramEnd"/>
      <w:r w:rsidRPr="007102F4">
        <w:rPr>
          <w:rFonts w:ascii="宋体" w:eastAsia="宋体" w:hAnsi="宋体" w:hint="eastAsia"/>
          <w:sz w:val="24"/>
          <w:szCs w:val="24"/>
        </w:rPr>
        <w:t>。</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聚焦亲代非经典遗传因素在子代糖脂稳态调控中的作用，发现其来源、</w:t>
      </w:r>
      <w:proofErr w:type="gramStart"/>
      <w:r w:rsidRPr="007102F4">
        <w:rPr>
          <w:rFonts w:ascii="宋体" w:eastAsia="宋体" w:hAnsi="宋体" w:hint="eastAsia"/>
          <w:sz w:val="24"/>
          <w:szCs w:val="24"/>
        </w:rPr>
        <w:t>跨代传递</w:t>
      </w:r>
      <w:proofErr w:type="gramEnd"/>
      <w:r w:rsidRPr="007102F4">
        <w:rPr>
          <w:rFonts w:ascii="宋体" w:eastAsia="宋体" w:hAnsi="宋体" w:hint="eastAsia"/>
          <w:sz w:val="24"/>
          <w:szCs w:val="24"/>
        </w:rPr>
        <w:t>方式、作用靶器官与机制。</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（九）糖脂代谢失衡与干预策略。</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通过系统性定量表征手段研究糖脂代谢失衡，揭示疾病不同发展阶段糖脂代谢全景式图谱；开展代谢性疾病的临床（前）干预研究，助力精准诊疗。</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（十）代谢物亚细胞精细定位分析与高分辨图谱。</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w:t>
      </w:r>
      <w:proofErr w:type="gramStart"/>
      <w:r w:rsidRPr="007102F4">
        <w:rPr>
          <w:rFonts w:ascii="宋体" w:eastAsia="宋体" w:hAnsi="宋体" w:hint="eastAsia"/>
          <w:sz w:val="24"/>
          <w:szCs w:val="24"/>
        </w:rPr>
        <w:t>综合高</w:t>
      </w:r>
      <w:proofErr w:type="gramEnd"/>
      <w:r w:rsidRPr="007102F4">
        <w:rPr>
          <w:rFonts w:ascii="宋体" w:eastAsia="宋体" w:hAnsi="宋体" w:hint="eastAsia"/>
          <w:sz w:val="24"/>
          <w:szCs w:val="24"/>
        </w:rPr>
        <w:t>时空分辨及高覆盖度代谢物鉴定、传感与定量方法，对重要糖脂代谢</w:t>
      </w:r>
      <w:r w:rsidRPr="007102F4">
        <w:rPr>
          <w:rFonts w:ascii="宋体" w:eastAsia="宋体" w:hAnsi="宋体" w:hint="eastAsia"/>
          <w:sz w:val="24"/>
          <w:szCs w:val="24"/>
        </w:rPr>
        <w:lastRenderedPageBreak/>
        <w:t>物在亚细胞结构内分布与动态进行原位定量分析，发展原创技术、工具、算法，构建代谢物亚细胞时空动态高分辨图谱。</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四、</w:t>
      </w:r>
      <w:r w:rsidRPr="007102F4">
        <w:rPr>
          <w:rFonts w:ascii="宋体" w:eastAsia="宋体" w:hAnsi="宋体"/>
          <w:sz w:val="24"/>
          <w:szCs w:val="24"/>
        </w:rPr>
        <w:t>2023年度资助计划</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拟资助集成项目</w:t>
      </w:r>
      <w:r w:rsidRPr="007102F4">
        <w:rPr>
          <w:rFonts w:ascii="宋体" w:eastAsia="宋体" w:hAnsi="宋体"/>
          <w:sz w:val="24"/>
          <w:szCs w:val="24"/>
        </w:rPr>
        <w:t>8项，资助期限为3年，直接费用资助强度约为800万元/项，申请书中研究期限应填写“2024年1月1日－2026年12月31日”。</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五、申请要求及注意事项</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（一）申请条件。</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w:t>
      </w:r>
      <w:proofErr w:type="gramStart"/>
      <w:r w:rsidRPr="007102F4">
        <w:rPr>
          <w:rFonts w:ascii="宋体" w:eastAsia="宋体" w:hAnsi="宋体" w:hint="eastAsia"/>
          <w:sz w:val="24"/>
          <w:szCs w:val="24"/>
        </w:rPr>
        <w:t>本重大</w:t>
      </w:r>
      <w:proofErr w:type="gramEnd"/>
      <w:r w:rsidRPr="007102F4">
        <w:rPr>
          <w:rFonts w:ascii="宋体" w:eastAsia="宋体" w:hAnsi="宋体" w:hint="eastAsia"/>
          <w:sz w:val="24"/>
          <w:szCs w:val="24"/>
        </w:rPr>
        <w:t>研究计划项目申请人应当具备以下条件：</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w:t>
      </w:r>
      <w:r w:rsidRPr="007102F4">
        <w:rPr>
          <w:rFonts w:ascii="宋体" w:eastAsia="宋体" w:hAnsi="宋体"/>
          <w:sz w:val="24"/>
          <w:szCs w:val="24"/>
        </w:rPr>
        <w:t>1.具有承担基础研究课题的经历；</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w:t>
      </w:r>
      <w:r w:rsidRPr="007102F4">
        <w:rPr>
          <w:rFonts w:ascii="宋体" w:eastAsia="宋体" w:hAnsi="宋体"/>
          <w:sz w:val="24"/>
          <w:szCs w:val="24"/>
        </w:rPr>
        <w:t>2.具有高级专业技术职务（职称）。</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（二）限</w:t>
      </w:r>
      <w:proofErr w:type="gramStart"/>
      <w:r w:rsidRPr="007102F4">
        <w:rPr>
          <w:rFonts w:ascii="宋体" w:eastAsia="宋体" w:hAnsi="宋体" w:hint="eastAsia"/>
          <w:sz w:val="24"/>
          <w:szCs w:val="24"/>
        </w:rPr>
        <w:t>项申请</w:t>
      </w:r>
      <w:proofErr w:type="gramEnd"/>
      <w:r w:rsidRPr="007102F4">
        <w:rPr>
          <w:rFonts w:ascii="宋体" w:eastAsia="宋体" w:hAnsi="宋体" w:hint="eastAsia"/>
          <w:sz w:val="24"/>
          <w:szCs w:val="24"/>
        </w:rPr>
        <w:t>规定。</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执行《</w:t>
      </w:r>
      <w:r w:rsidRPr="007102F4">
        <w:rPr>
          <w:rFonts w:ascii="宋体" w:eastAsia="宋体" w:hAnsi="宋体"/>
          <w:sz w:val="24"/>
          <w:szCs w:val="24"/>
        </w:rPr>
        <w:t>2023年度国家自然科学基金项目指南》“申请规定”中限</w:t>
      </w:r>
      <w:proofErr w:type="gramStart"/>
      <w:r w:rsidRPr="007102F4">
        <w:rPr>
          <w:rFonts w:ascii="宋体" w:eastAsia="宋体" w:hAnsi="宋体"/>
          <w:sz w:val="24"/>
          <w:szCs w:val="24"/>
        </w:rPr>
        <w:t>项申请</w:t>
      </w:r>
      <w:proofErr w:type="gramEnd"/>
      <w:r w:rsidRPr="007102F4">
        <w:rPr>
          <w:rFonts w:ascii="宋体" w:eastAsia="宋体" w:hAnsi="宋体"/>
          <w:sz w:val="24"/>
          <w:szCs w:val="24"/>
        </w:rPr>
        <w:t>规定的相关要求。重大研究计划集成项目申请人和主要参与者不受申请和承担项目总数限制。</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（三）申请注意事项。</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申请人和依托单位应当认真阅读并执行本项目指南、《</w:t>
      </w:r>
      <w:r w:rsidRPr="007102F4">
        <w:rPr>
          <w:rFonts w:ascii="宋体" w:eastAsia="宋体" w:hAnsi="宋体"/>
          <w:sz w:val="24"/>
          <w:szCs w:val="24"/>
        </w:rPr>
        <w:t>2023年度国家自然科学基金项目指南》和《关于2023年度国家自然科学基金项目申请与结题等有关事项的通告》中相关要求。</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w:t>
      </w:r>
      <w:r w:rsidRPr="007102F4">
        <w:rPr>
          <w:rFonts w:ascii="宋体" w:eastAsia="宋体" w:hAnsi="宋体"/>
          <w:sz w:val="24"/>
          <w:szCs w:val="24"/>
        </w:rPr>
        <w:t xml:space="preserve">1. </w:t>
      </w:r>
      <w:proofErr w:type="gramStart"/>
      <w:r w:rsidRPr="007102F4">
        <w:rPr>
          <w:rFonts w:ascii="宋体" w:eastAsia="宋体" w:hAnsi="宋体"/>
          <w:sz w:val="24"/>
          <w:szCs w:val="24"/>
        </w:rPr>
        <w:t>本重大</w:t>
      </w:r>
      <w:proofErr w:type="gramEnd"/>
      <w:r w:rsidRPr="007102F4">
        <w:rPr>
          <w:rFonts w:ascii="宋体" w:eastAsia="宋体" w:hAnsi="宋体"/>
          <w:sz w:val="24"/>
          <w:szCs w:val="24"/>
        </w:rPr>
        <w:t>研究计划项目实行无纸化申请。申请书提交日期为2023年10月26日－11月1日16时。</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w:t>
      </w:r>
      <w:r w:rsidRPr="007102F4">
        <w:rPr>
          <w:rFonts w:ascii="宋体" w:eastAsia="宋体" w:hAnsi="宋体"/>
          <w:sz w:val="24"/>
          <w:szCs w:val="24"/>
        </w:rPr>
        <w:t>1）申请人应当按照科学基金网络信息系统（以下简称信息系统）中重大研究计划项目的填报说明与撰写提纲要求在线填写和提交电子申请书及附件材料。</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w:t>
      </w:r>
      <w:r w:rsidRPr="007102F4">
        <w:rPr>
          <w:rFonts w:ascii="宋体" w:eastAsia="宋体" w:hAnsi="宋体"/>
          <w:sz w:val="24"/>
          <w:szCs w:val="24"/>
        </w:rPr>
        <w:t>2）</w:t>
      </w:r>
      <w:proofErr w:type="gramStart"/>
      <w:r w:rsidRPr="007102F4">
        <w:rPr>
          <w:rFonts w:ascii="宋体" w:eastAsia="宋体" w:hAnsi="宋体"/>
          <w:sz w:val="24"/>
          <w:szCs w:val="24"/>
        </w:rPr>
        <w:t>本重大</w:t>
      </w:r>
      <w:proofErr w:type="gramEnd"/>
      <w:r w:rsidRPr="007102F4">
        <w:rPr>
          <w:rFonts w:ascii="宋体" w:eastAsia="宋体" w:hAnsi="宋体"/>
          <w:sz w:val="24"/>
          <w:szCs w:val="24"/>
        </w:rPr>
        <w:t>研究计划旨在紧密围绕核心科学问题，通过多学科战略性的优势整合，形成集成项目群。申请人应根据</w:t>
      </w:r>
      <w:proofErr w:type="gramStart"/>
      <w:r w:rsidRPr="007102F4">
        <w:rPr>
          <w:rFonts w:ascii="宋体" w:eastAsia="宋体" w:hAnsi="宋体"/>
          <w:sz w:val="24"/>
          <w:szCs w:val="24"/>
        </w:rPr>
        <w:t>本重大</w:t>
      </w:r>
      <w:proofErr w:type="gramEnd"/>
      <w:r w:rsidRPr="007102F4">
        <w:rPr>
          <w:rFonts w:ascii="宋体" w:eastAsia="宋体" w:hAnsi="宋体"/>
          <w:sz w:val="24"/>
          <w:szCs w:val="24"/>
        </w:rPr>
        <w:t>研究计划拟解决的具体科学问题和项目指南公布的资助研究方向，自行拟定项目名称、科学目标、研究内容、技术路线和相应的研究经费等。</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lastRenderedPageBreak/>
        <w:t xml:space="preserve">　　（</w:t>
      </w:r>
      <w:r w:rsidRPr="007102F4">
        <w:rPr>
          <w:rFonts w:ascii="宋体" w:eastAsia="宋体" w:hAnsi="宋体"/>
          <w:sz w:val="24"/>
          <w:szCs w:val="24"/>
        </w:rPr>
        <w:t>3）申请书中的资助类别选择“重大研究计划”，亚类说明选择“集成项目”，附注说明选择“糖脂代谢的时空网络调控”，根据申请的具体研究内容选择相应的申请代码。</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集成项目合作研究单位不得超过</w:t>
      </w:r>
      <w:r w:rsidRPr="007102F4">
        <w:rPr>
          <w:rFonts w:ascii="宋体" w:eastAsia="宋体" w:hAnsi="宋体"/>
          <w:sz w:val="24"/>
          <w:szCs w:val="24"/>
        </w:rPr>
        <w:t>4个。集成项目主要参与者必须是项目的实际贡献者，合计人数不超过9人。</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w:t>
      </w:r>
      <w:r w:rsidRPr="007102F4">
        <w:rPr>
          <w:rFonts w:ascii="宋体" w:eastAsia="宋体" w:hAnsi="宋体"/>
          <w:sz w:val="24"/>
          <w:szCs w:val="24"/>
        </w:rPr>
        <w:t>4）申请人在申请书“立项依据与研究内容”部分，应当首先说明申请符合本项目指南中的资助研究方向并注明相应的研究方向名称，同时说明所申请项目对解决</w:t>
      </w:r>
      <w:proofErr w:type="gramStart"/>
      <w:r w:rsidRPr="007102F4">
        <w:rPr>
          <w:rFonts w:ascii="宋体" w:eastAsia="宋体" w:hAnsi="宋体"/>
          <w:sz w:val="24"/>
          <w:szCs w:val="24"/>
        </w:rPr>
        <w:t>本重大</w:t>
      </w:r>
      <w:proofErr w:type="gramEnd"/>
      <w:r w:rsidRPr="007102F4">
        <w:rPr>
          <w:rFonts w:ascii="宋体" w:eastAsia="宋体" w:hAnsi="宋体"/>
          <w:sz w:val="24"/>
          <w:szCs w:val="24"/>
        </w:rPr>
        <w:t>研究计划核心科学问题、实现</w:t>
      </w:r>
      <w:proofErr w:type="gramStart"/>
      <w:r w:rsidRPr="007102F4">
        <w:rPr>
          <w:rFonts w:ascii="宋体" w:eastAsia="宋体" w:hAnsi="宋体"/>
          <w:sz w:val="24"/>
          <w:szCs w:val="24"/>
        </w:rPr>
        <w:t>本重大</w:t>
      </w:r>
      <w:proofErr w:type="gramEnd"/>
      <w:r w:rsidRPr="007102F4">
        <w:rPr>
          <w:rFonts w:ascii="宋体" w:eastAsia="宋体" w:hAnsi="宋体"/>
          <w:sz w:val="24"/>
          <w:szCs w:val="24"/>
        </w:rPr>
        <w:t>研究计划科学目标的贡献。</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如果申请人已经承担与</w:t>
      </w:r>
      <w:proofErr w:type="gramStart"/>
      <w:r w:rsidRPr="007102F4">
        <w:rPr>
          <w:rFonts w:ascii="宋体" w:eastAsia="宋体" w:hAnsi="宋体" w:hint="eastAsia"/>
          <w:sz w:val="24"/>
          <w:szCs w:val="24"/>
        </w:rPr>
        <w:t>本重大</w:t>
      </w:r>
      <w:proofErr w:type="gramEnd"/>
      <w:r w:rsidRPr="007102F4">
        <w:rPr>
          <w:rFonts w:ascii="宋体" w:eastAsia="宋体" w:hAnsi="宋体" w:hint="eastAsia"/>
          <w:sz w:val="24"/>
          <w:szCs w:val="24"/>
        </w:rPr>
        <w:t>研究计划相关的其他科技计划项目，应当在申请书正文的“研究基础与工作条件”部分论述申请项目与其他相关项目的区别与联系。</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w:t>
      </w:r>
      <w:r w:rsidRPr="007102F4">
        <w:rPr>
          <w:rFonts w:ascii="宋体" w:eastAsia="宋体" w:hAnsi="宋体"/>
          <w:sz w:val="24"/>
          <w:szCs w:val="24"/>
        </w:rPr>
        <w:t>2. 依托单位应当按照要求完成依托单位承诺、组织申请以及审核申请材料等工作。在2023年11月1日16时前通过信息系统逐项确认提交本单位电子申请书及附件材料，并于11月2日16时前在线提交本单位项目申请清单。</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w:t>
      </w:r>
      <w:r w:rsidRPr="007102F4">
        <w:rPr>
          <w:rFonts w:ascii="宋体" w:eastAsia="宋体" w:hAnsi="宋体"/>
          <w:sz w:val="24"/>
          <w:szCs w:val="24"/>
        </w:rPr>
        <w:t>3. 其他注意事项。</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w:t>
      </w:r>
      <w:r w:rsidRPr="007102F4">
        <w:rPr>
          <w:rFonts w:ascii="宋体" w:eastAsia="宋体" w:hAnsi="宋体"/>
          <w:sz w:val="24"/>
          <w:szCs w:val="24"/>
        </w:rPr>
        <w:t>1）为实现重大研究计划总体科学目标和多学科集成，获得资助的项目负责人应当承诺遵守相关数据和资料管理与共享的规定，支持在重大研究计划层面开展的大数据相关工作，项目执行过程中应关注与</w:t>
      </w:r>
      <w:proofErr w:type="gramStart"/>
      <w:r w:rsidRPr="007102F4">
        <w:rPr>
          <w:rFonts w:ascii="宋体" w:eastAsia="宋体" w:hAnsi="宋体"/>
          <w:sz w:val="24"/>
          <w:szCs w:val="24"/>
        </w:rPr>
        <w:t>本重大</w:t>
      </w:r>
      <w:proofErr w:type="gramEnd"/>
      <w:r w:rsidRPr="007102F4">
        <w:rPr>
          <w:rFonts w:ascii="宋体" w:eastAsia="宋体" w:hAnsi="宋体"/>
          <w:sz w:val="24"/>
          <w:szCs w:val="24"/>
        </w:rPr>
        <w:t>研究计划其他项目之间的相互支撑关系。</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w:t>
      </w:r>
      <w:r w:rsidRPr="007102F4">
        <w:rPr>
          <w:rFonts w:ascii="宋体" w:eastAsia="宋体" w:hAnsi="宋体"/>
          <w:sz w:val="24"/>
          <w:szCs w:val="24"/>
        </w:rPr>
        <w:t>2）为加强项目的学术交流，促进项目群的形成和多学科交叉与集成，</w:t>
      </w:r>
      <w:proofErr w:type="gramStart"/>
      <w:r w:rsidRPr="007102F4">
        <w:rPr>
          <w:rFonts w:ascii="宋体" w:eastAsia="宋体" w:hAnsi="宋体"/>
          <w:sz w:val="24"/>
          <w:szCs w:val="24"/>
        </w:rPr>
        <w:t>本重大</w:t>
      </w:r>
      <w:proofErr w:type="gramEnd"/>
      <w:r w:rsidRPr="007102F4">
        <w:rPr>
          <w:rFonts w:ascii="宋体" w:eastAsia="宋体" w:hAnsi="宋体"/>
          <w:sz w:val="24"/>
          <w:szCs w:val="24"/>
        </w:rPr>
        <w:t>研究计划将每年举办1次资助项目的年度学术交流会，并将不定期地组织相关领域的学术研讨会。获资助项目负责人有义务参加</w:t>
      </w:r>
      <w:proofErr w:type="gramStart"/>
      <w:r w:rsidRPr="007102F4">
        <w:rPr>
          <w:rFonts w:ascii="宋体" w:eastAsia="宋体" w:hAnsi="宋体"/>
          <w:sz w:val="24"/>
          <w:szCs w:val="24"/>
        </w:rPr>
        <w:t>本重大</w:t>
      </w:r>
      <w:proofErr w:type="gramEnd"/>
      <w:r w:rsidRPr="007102F4">
        <w:rPr>
          <w:rFonts w:ascii="宋体" w:eastAsia="宋体" w:hAnsi="宋体"/>
          <w:sz w:val="24"/>
          <w:szCs w:val="24"/>
        </w:rPr>
        <w:t>研究计划指导专家组和管理工作组所组织的上述学术交流活动。</w:t>
      </w:r>
    </w:p>
    <w:p w:rsidR="007102F4" w:rsidRPr="007102F4" w:rsidRDefault="007102F4" w:rsidP="007102F4">
      <w:pPr>
        <w:spacing w:line="360" w:lineRule="auto"/>
        <w:rPr>
          <w:rFonts w:ascii="宋体" w:eastAsia="宋体" w:hAnsi="宋体"/>
          <w:sz w:val="24"/>
          <w:szCs w:val="24"/>
        </w:rPr>
      </w:pPr>
      <w:r w:rsidRPr="007102F4">
        <w:rPr>
          <w:rFonts w:ascii="宋体" w:eastAsia="宋体" w:hAnsi="宋体" w:hint="eastAsia"/>
          <w:sz w:val="24"/>
          <w:szCs w:val="24"/>
        </w:rPr>
        <w:t xml:space="preserve">　　（四）咨询方式。</w:t>
      </w:r>
    </w:p>
    <w:p w:rsidR="007102F4" w:rsidRDefault="007102F4" w:rsidP="007102F4">
      <w:pPr>
        <w:spacing w:line="360" w:lineRule="auto"/>
        <w:rPr>
          <w:rFonts w:ascii="宋体" w:eastAsia="宋体" w:hAnsi="宋体"/>
          <w:sz w:val="24"/>
          <w:szCs w:val="24"/>
        </w:rPr>
      </w:pPr>
    </w:p>
    <w:p w:rsidR="002A5DAC" w:rsidRPr="007102F4" w:rsidRDefault="002A5DAC" w:rsidP="007102F4">
      <w:pPr>
        <w:spacing w:line="360" w:lineRule="auto"/>
        <w:rPr>
          <w:rFonts w:ascii="宋体" w:eastAsia="宋体" w:hAnsi="宋体" w:hint="eastAsia"/>
          <w:sz w:val="24"/>
          <w:szCs w:val="24"/>
        </w:rPr>
      </w:pPr>
    </w:p>
    <w:p w:rsidR="007102F4" w:rsidRPr="007102F4" w:rsidRDefault="007102F4" w:rsidP="002A5DAC">
      <w:pPr>
        <w:spacing w:line="360" w:lineRule="auto"/>
        <w:jc w:val="right"/>
        <w:rPr>
          <w:rFonts w:ascii="宋体" w:eastAsia="宋体" w:hAnsi="宋体"/>
          <w:sz w:val="24"/>
          <w:szCs w:val="24"/>
        </w:rPr>
      </w:pPr>
      <w:r w:rsidRPr="007102F4">
        <w:rPr>
          <w:rFonts w:ascii="宋体" w:eastAsia="宋体" w:hAnsi="宋体" w:hint="eastAsia"/>
          <w:sz w:val="24"/>
          <w:szCs w:val="24"/>
        </w:rPr>
        <w:t xml:space="preserve">　　国家自然科学基金委员会生命科学部生物学二处</w:t>
      </w:r>
    </w:p>
    <w:p w:rsidR="00580A06" w:rsidRPr="007102F4" w:rsidRDefault="007102F4" w:rsidP="002A5DAC">
      <w:pPr>
        <w:spacing w:line="360" w:lineRule="auto"/>
        <w:jc w:val="right"/>
        <w:rPr>
          <w:rFonts w:ascii="宋体" w:eastAsia="宋体" w:hAnsi="宋体"/>
          <w:sz w:val="24"/>
          <w:szCs w:val="24"/>
        </w:rPr>
      </w:pPr>
      <w:r w:rsidRPr="007102F4">
        <w:rPr>
          <w:rFonts w:ascii="宋体" w:eastAsia="宋体" w:hAnsi="宋体" w:hint="eastAsia"/>
          <w:sz w:val="24"/>
          <w:szCs w:val="24"/>
        </w:rPr>
        <w:t xml:space="preserve">　　联系电话：</w:t>
      </w:r>
      <w:r w:rsidRPr="007102F4">
        <w:rPr>
          <w:rFonts w:ascii="宋体" w:eastAsia="宋体" w:hAnsi="宋体"/>
          <w:sz w:val="24"/>
          <w:szCs w:val="24"/>
        </w:rPr>
        <w:t>010-62329253</w:t>
      </w:r>
    </w:p>
    <w:sectPr w:rsidR="00580A06" w:rsidRPr="007102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2F4"/>
    <w:rsid w:val="00177596"/>
    <w:rsid w:val="002A5DAC"/>
    <w:rsid w:val="00327ACE"/>
    <w:rsid w:val="003643BE"/>
    <w:rsid w:val="00534B4E"/>
    <w:rsid w:val="007102F4"/>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6D22"/>
  <w15:chartTrackingRefBased/>
  <w15:docId w15:val="{7578A4EC-6D49-474E-84D7-5706CF7A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003121">
      <w:bodyDiv w:val="1"/>
      <w:marLeft w:val="0"/>
      <w:marRight w:val="0"/>
      <w:marTop w:val="0"/>
      <w:marBottom w:val="0"/>
      <w:divBdr>
        <w:top w:val="none" w:sz="0" w:space="0" w:color="auto"/>
        <w:left w:val="none" w:sz="0" w:space="0" w:color="auto"/>
        <w:bottom w:val="none" w:sz="0" w:space="0" w:color="auto"/>
        <w:right w:val="none" w:sz="0" w:space="0" w:color="auto"/>
      </w:divBdr>
      <w:divsChild>
        <w:div w:id="400060386">
          <w:marLeft w:val="0"/>
          <w:marRight w:val="0"/>
          <w:marTop w:val="0"/>
          <w:marBottom w:val="0"/>
          <w:divBdr>
            <w:top w:val="none" w:sz="0" w:space="0" w:color="auto"/>
            <w:left w:val="none" w:sz="0" w:space="0" w:color="auto"/>
            <w:bottom w:val="none" w:sz="0" w:space="0" w:color="auto"/>
            <w:right w:val="none" w:sz="0" w:space="0" w:color="auto"/>
          </w:divBdr>
          <w:divsChild>
            <w:div w:id="1479762348">
              <w:marLeft w:val="0"/>
              <w:marRight w:val="0"/>
              <w:marTop w:val="0"/>
              <w:marBottom w:val="0"/>
              <w:divBdr>
                <w:top w:val="none" w:sz="0" w:space="0" w:color="auto"/>
                <w:left w:val="none" w:sz="0" w:space="0" w:color="auto"/>
                <w:bottom w:val="none" w:sz="0" w:space="0" w:color="auto"/>
                <w:right w:val="none" w:sz="0" w:space="0" w:color="auto"/>
              </w:divBdr>
              <w:divsChild>
                <w:div w:id="717168875">
                  <w:marLeft w:val="0"/>
                  <w:marRight w:val="0"/>
                  <w:marTop w:val="0"/>
                  <w:marBottom w:val="0"/>
                  <w:divBdr>
                    <w:top w:val="none" w:sz="0" w:space="0" w:color="auto"/>
                    <w:left w:val="none" w:sz="0" w:space="0" w:color="auto"/>
                    <w:bottom w:val="none" w:sz="0" w:space="0" w:color="auto"/>
                    <w:right w:val="none" w:sz="0" w:space="0" w:color="auto"/>
                  </w:divBdr>
                  <w:divsChild>
                    <w:div w:id="310601049">
                      <w:marLeft w:val="0"/>
                      <w:marRight w:val="0"/>
                      <w:marTop w:val="0"/>
                      <w:marBottom w:val="0"/>
                      <w:divBdr>
                        <w:top w:val="none" w:sz="0" w:space="0" w:color="auto"/>
                        <w:left w:val="none" w:sz="0" w:space="0" w:color="auto"/>
                        <w:bottom w:val="none" w:sz="0" w:space="0" w:color="auto"/>
                        <w:right w:val="none" w:sz="0" w:space="0" w:color="auto"/>
                      </w:divBdr>
                      <w:divsChild>
                        <w:div w:id="12793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690589">
      <w:bodyDiv w:val="1"/>
      <w:marLeft w:val="0"/>
      <w:marRight w:val="0"/>
      <w:marTop w:val="0"/>
      <w:marBottom w:val="0"/>
      <w:divBdr>
        <w:top w:val="none" w:sz="0" w:space="0" w:color="auto"/>
        <w:left w:val="none" w:sz="0" w:space="0" w:color="auto"/>
        <w:bottom w:val="none" w:sz="0" w:space="0" w:color="auto"/>
        <w:right w:val="none" w:sz="0" w:space="0" w:color="auto"/>
      </w:divBdr>
      <w:divsChild>
        <w:div w:id="1672442714">
          <w:marLeft w:val="0"/>
          <w:marRight w:val="0"/>
          <w:marTop w:val="0"/>
          <w:marBottom w:val="0"/>
          <w:divBdr>
            <w:top w:val="none" w:sz="0" w:space="0" w:color="auto"/>
            <w:left w:val="none" w:sz="0" w:space="0" w:color="auto"/>
            <w:bottom w:val="none" w:sz="0" w:space="0" w:color="auto"/>
            <w:right w:val="none" w:sz="0" w:space="0" w:color="auto"/>
          </w:divBdr>
          <w:divsChild>
            <w:div w:id="667634015">
              <w:marLeft w:val="0"/>
              <w:marRight w:val="0"/>
              <w:marTop w:val="0"/>
              <w:marBottom w:val="0"/>
              <w:divBdr>
                <w:top w:val="none" w:sz="0" w:space="0" w:color="auto"/>
                <w:left w:val="none" w:sz="0" w:space="0" w:color="auto"/>
                <w:bottom w:val="none" w:sz="0" w:space="0" w:color="auto"/>
                <w:right w:val="none" w:sz="0" w:space="0" w:color="auto"/>
              </w:divBdr>
              <w:divsChild>
                <w:div w:id="2141218220">
                  <w:marLeft w:val="0"/>
                  <w:marRight w:val="0"/>
                  <w:marTop w:val="0"/>
                  <w:marBottom w:val="0"/>
                  <w:divBdr>
                    <w:top w:val="none" w:sz="0" w:space="0" w:color="auto"/>
                    <w:left w:val="none" w:sz="0" w:space="0" w:color="auto"/>
                    <w:bottom w:val="none" w:sz="0" w:space="0" w:color="auto"/>
                    <w:right w:val="none" w:sz="0" w:space="0" w:color="auto"/>
                  </w:divBdr>
                  <w:divsChild>
                    <w:div w:id="773205289">
                      <w:marLeft w:val="0"/>
                      <w:marRight w:val="0"/>
                      <w:marTop w:val="0"/>
                      <w:marBottom w:val="0"/>
                      <w:divBdr>
                        <w:top w:val="none" w:sz="0" w:space="0" w:color="auto"/>
                        <w:left w:val="none" w:sz="0" w:space="0" w:color="auto"/>
                        <w:bottom w:val="none" w:sz="0" w:space="0" w:color="auto"/>
                        <w:right w:val="none" w:sz="0" w:space="0" w:color="auto"/>
                      </w:divBdr>
                      <w:divsChild>
                        <w:div w:id="2394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450</Words>
  <Characters>2566</Characters>
  <Application>Microsoft Office Word</Application>
  <DocSecurity>0</DocSecurity>
  <Lines>21</Lines>
  <Paragraphs>6</Paragraphs>
  <ScaleCrop>false</ScaleCrop>
  <Company>CHINA</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2023-09-27T00:37:00Z</dcterms:created>
  <dcterms:modified xsi:type="dcterms:W3CDTF">2023-09-27T00:49:00Z</dcterms:modified>
</cp:coreProperties>
</file>