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1"/>
        <w:rPr>
          <w:rFonts w:ascii="方正小标宋简体" w:hAnsi="方正小标宋简体" w:eastAsia="方正小标宋简体" w:cs="Times New Roman"/>
          <w:sz w:val="28"/>
          <w:szCs w:val="28"/>
          <w:lang w:eastAsia="zh-CN"/>
        </w:rPr>
      </w:pPr>
      <w:r>
        <w:rPr>
          <w:rFonts w:ascii="方正小标宋简体" w:hAnsi="方正小标宋简体" w:eastAsia="方正小标宋简体" w:cs="Times New Roman"/>
          <w:sz w:val="28"/>
          <w:szCs w:val="28"/>
          <w:lang w:eastAsia="zh-CN"/>
        </w:rPr>
        <w:t>自然科学基金委与</w:t>
      </w:r>
      <w:r>
        <w:rPr>
          <w:rFonts w:hint="eastAsia" w:ascii="方正小标宋简体" w:hAnsi="方正小标宋简体" w:eastAsia="方正小标宋简体" w:cs="Times New Roman"/>
          <w:sz w:val="28"/>
          <w:szCs w:val="28"/>
          <w:lang w:eastAsia="zh-CN"/>
        </w:rPr>
        <w:t>国家自然科学基金委员会与贝尔蒙特论坛</w:t>
      </w:r>
      <w:r>
        <w:rPr>
          <w:rFonts w:hint="eastAsia" w:ascii="方正小标宋简体" w:hAnsi="方正小标宋简体" w:eastAsia="方正小标宋简体" w:cs="Times New Roman"/>
          <w:sz w:val="28"/>
          <w:szCs w:val="28"/>
          <w:lang w:val="en-US" w:eastAsia="zh-CN"/>
        </w:rPr>
        <w:t>合作研究项目</w:t>
      </w:r>
      <w:r>
        <w:rPr>
          <w:rFonts w:hint="eastAsia" w:ascii="方正小标宋简体" w:hAnsi="方正小标宋简体" w:eastAsia="方正小标宋简体" w:cs="Times New Roman"/>
          <w:sz w:val="28"/>
          <w:szCs w:val="28"/>
          <w:lang w:val="en-US" w:eastAsia="zh-CN"/>
        </w:rPr>
        <w:br w:type="textWrapping"/>
      </w:r>
      <w:r>
        <w:rPr>
          <w:rFonts w:hint="eastAsia" w:ascii="方正小标宋简体" w:hAnsi="方正小标宋简体" w:eastAsia="方正小标宋简体" w:cs="Times New Roman"/>
          <w:sz w:val="28"/>
          <w:szCs w:val="28"/>
          <w:lang w:eastAsia="zh-CN"/>
        </w:rPr>
        <w:t>中文预申请简表</w:t>
      </w:r>
    </w:p>
    <w:p>
      <w:pPr>
        <w:spacing w:line="560" w:lineRule="exact"/>
        <w:jc w:val="center"/>
        <w:outlineLvl w:val="1"/>
        <w:rPr>
          <w:rFonts w:ascii="方正小标宋简体" w:hAnsi="方正小标宋简体" w:eastAsia="方正小标宋简体" w:cs="Times New Roman"/>
          <w:sz w:val="24"/>
          <w:szCs w:val="24"/>
          <w:lang w:eastAsia="zh-CN"/>
        </w:rPr>
      </w:pPr>
    </w:p>
    <w:tbl>
      <w:tblPr>
        <w:tblStyle w:val="12"/>
        <w:tblW w:w="87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3"/>
        <w:gridCol w:w="943"/>
        <w:gridCol w:w="1566"/>
        <w:gridCol w:w="1566"/>
        <w:gridCol w:w="2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93" w:type="dxa"/>
          </w:tcPr>
          <w:p>
            <w:pPr>
              <w:rPr>
                <w:rFonts w:ascii="仿宋" w:hAnsi="仿宋" w:eastAsia="仿宋" w:cs="仿宋"/>
                <w:b/>
                <w:sz w:val="24"/>
                <w:szCs w:val="20"/>
              </w:rPr>
            </w:pPr>
            <w:r>
              <w:rPr>
                <w:rFonts w:hint="eastAsia" w:ascii="仿宋" w:hAnsi="仿宋" w:eastAsia="仿宋" w:cs="仿宋"/>
                <w:b/>
                <w:sz w:val="24"/>
                <w:szCs w:val="20"/>
              </w:rPr>
              <w:t>项目名称（中文）</w:t>
            </w:r>
          </w:p>
        </w:tc>
        <w:tc>
          <w:tcPr>
            <w:tcW w:w="6562" w:type="dxa"/>
            <w:gridSpan w:val="4"/>
          </w:tcPr>
          <w:p>
            <w:pPr>
              <w:jc w:val="center"/>
              <w:rPr>
                <w:b/>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93" w:type="dxa"/>
          </w:tcPr>
          <w:p>
            <w:pPr>
              <w:rPr>
                <w:rFonts w:ascii="仿宋" w:hAnsi="仿宋" w:eastAsia="仿宋" w:cs="仿宋"/>
                <w:b/>
                <w:sz w:val="24"/>
                <w:szCs w:val="20"/>
              </w:rPr>
            </w:pPr>
            <w:r>
              <w:rPr>
                <w:rFonts w:hint="eastAsia" w:ascii="仿宋" w:hAnsi="仿宋" w:eastAsia="仿宋" w:cs="仿宋"/>
                <w:b/>
                <w:sz w:val="24"/>
                <w:szCs w:val="20"/>
              </w:rPr>
              <w:t>项目名称（英文）</w:t>
            </w:r>
          </w:p>
        </w:tc>
        <w:tc>
          <w:tcPr>
            <w:tcW w:w="6562" w:type="dxa"/>
            <w:gridSpan w:val="4"/>
          </w:tcPr>
          <w:p>
            <w:pPr>
              <w:jc w:val="center"/>
              <w:rPr>
                <w:b/>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2193" w:type="dxa"/>
            <w:vMerge w:val="restart"/>
          </w:tcPr>
          <w:p>
            <w:pPr>
              <w:rPr>
                <w:rFonts w:ascii="仿宋" w:hAnsi="仿宋" w:eastAsia="仿宋" w:cs="仿宋"/>
                <w:b/>
                <w:sz w:val="24"/>
                <w:szCs w:val="20"/>
              </w:rPr>
            </w:pPr>
            <w:r>
              <w:rPr>
                <w:rFonts w:hint="eastAsia" w:ascii="仿宋" w:hAnsi="仿宋" w:eastAsia="仿宋" w:cs="仿宋"/>
                <w:b/>
                <w:sz w:val="24"/>
                <w:szCs w:val="20"/>
              </w:rPr>
              <w:t>中方申请人</w:t>
            </w:r>
          </w:p>
        </w:tc>
        <w:tc>
          <w:tcPr>
            <w:tcW w:w="943" w:type="dxa"/>
          </w:tcPr>
          <w:p>
            <w:pPr>
              <w:jc w:val="center"/>
              <w:rPr>
                <w:b/>
                <w:sz w:val="30"/>
              </w:rPr>
            </w:pPr>
            <w:r>
              <w:rPr>
                <w:rFonts w:hint="eastAsia" w:ascii="宋体" w:hAnsi="宋体" w:cs="宋体"/>
                <w:b/>
                <w:bCs/>
                <w:color w:val="000000"/>
                <w:sz w:val="18"/>
                <w:szCs w:val="18"/>
                <w:lang w:bidi="ar"/>
              </w:rPr>
              <w:t xml:space="preserve">姓名 </w:t>
            </w:r>
          </w:p>
        </w:tc>
        <w:tc>
          <w:tcPr>
            <w:tcW w:w="1566" w:type="dxa"/>
          </w:tcPr>
          <w:p>
            <w:pPr>
              <w:jc w:val="center"/>
              <w:rPr>
                <w:b/>
                <w:sz w:val="30"/>
              </w:rPr>
            </w:pPr>
            <w:r>
              <w:rPr>
                <w:rFonts w:hint="eastAsia" w:ascii="宋体" w:hAnsi="宋体" w:cs="宋体"/>
                <w:b/>
                <w:bCs/>
                <w:color w:val="000000"/>
                <w:sz w:val="18"/>
                <w:szCs w:val="18"/>
                <w:lang w:bidi="ar"/>
              </w:rPr>
              <w:t>证件号码</w:t>
            </w:r>
          </w:p>
        </w:tc>
        <w:tc>
          <w:tcPr>
            <w:tcW w:w="1566" w:type="dxa"/>
          </w:tcPr>
          <w:p>
            <w:pPr>
              <w:rPr>
                <w:b/>
                <w:sz w:val="30"/>
              </w:rPr>
            </w:pPr>
            <w:r>
              <w:rPr>
                <w:rFonts w:hint="eastAsia" w:ascii="宋体" w:hAnsi="宋体" w:cs="宋体"/>
                <w:b/>
                <w:bCs/>
                <w:color w:val="000000"/>
                <w:sz w:val="18"/>
                <w:szCs w:val="18"/>
                <w:lang w:bidi="ar"/>
              </w:rPr>
              <w:t xml:space="preserve">专业技术职务 </w:t>
            </w:r>
          </w:p>
        </w:tc>
        <w:tc>
          <w:tcPr>
            <w:tcW w:w="2487" w:type="dxa"/>
          </w:tcPr>
          <w:p>
            <w:pPr>
              <w:jc w:val="center"/>
              <w:rPr>
                <w:b/>
                <w:sz w:val="30"/>
              </w:rPr>
            </w:pPr>
            <w:r>
              <w:rPr>
                <w:rFonts w:hint="eastAsia" w:ascii="宋体" w:hAnsi="宋体" w:cs="宋体"/>
                <w:b/>
                <w:bCs/>
                <w:color w:val="000000"/>
                <w:sz w:val="18"/>
                <w:szCs w:val="18"/>
                <w:lang w:bidi="ar"/>
              </w:rPr>
              <w:t xml:space="preserve">依托单位名称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2193" w:type="dxa"/>
            <w:vMerge w:val="continue"/>
          </w:tcPr>
          <w:p>
            <w:pPr>
              <w:jc w:val="center"/>
            </w:pPr>
          </w:p>
        </w:tc>
        <w:tc>
          <w:tcPr>
            <w:tcW w:w="943" w:type="dxa"/>
          </w:tcPr>
          <w:p>
            <w:pPr>
              <w:jc w:val="center"/>
            </w:pPr>
          </w:p>
        </w:tc>
        <w:tc>
          <w:tcPr>
            <w:tcW w:w="1566" w:type="dxa"/>
          </w:tcPr>
          <w:p>
            <w:pPr>
              <w:jc w:val="center"/>
            </w:pPr>
          </w:p>
        </w:tc>
        <w:tc>
          <w:tcPr>
            <w:tcW w:w="1566" w:type="dxa"/>
          </w:tcPr>
          <w:p>
            <w:pPr>
              <w:jc w:val="center"/>
            </w:pPr>
          </w:p>
        </w:tc>
        <w:tc>
          <w:tcPr>
            <w:tcW w:w="2487" w:type="dxa"/>
          </w:tcPr>
          <w:p>
            <w:pPr>
              <w:jc w:val="center"/>
              <w:rPr>
                <w:b/>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193" w:type="dxa"/>
            <w:vMerge w:val="restart"/>
          </w:tcPr>
          <w:p>
            <w:pPr>
              <w:rPr>
                <w:rFonts w:ascii="仿宋" w:hAnsi="仿宋" w:eastAsia="仿宋" w:cs="仿宋"/>
                <w:b/>
                <w:sz w:val="24"/>
                <w:szCs w:val="20"/>
              </w:rPr>
            </w:pPr>
            <w:r>
              <w:rPr>
                <w:rFonts w:hint="eastAsia" w:ascii="仿宋" w:hAnsi="仿宋" w:eastAsia="仿宋" w:cs="仿宋"/>
                <w:b/>
                <w:sz w:val="24"/>
                <w:szCs w:val="20"/>
              </w:rPr>
              <w:t>中方人员</w:t>
            </w:r>
          </w:p>
          <w:p>
            <w:pPr>
              <w:rPr>
                <w:rFonts w:ascii="仿宋" w:hAnsi="仿宋" w:eastAsia="仿宋" w:cs="仿宋"/>
                <w:b/>
                <w:sz w:val="24"/>
                <w:szCs w:val="20"/>
              </w:rPr>
            </w:pPr>
            <w:r>
              <w:rPr>
                <w:rFonts w:hint="eastAsia" w:ascii="仿宋" w:hAnsi="仿宋" w:eastAsia="仿宋" w:cs="仿宋"/>
                <w:b/>
                <w:sz w:val="24"/>
                <w:szCs w:val="20"/>
              </w:rPr>
              <w:t>列表</w:t>
            </w:r>
          </w:p>
        </w:tc>
        <w:tc>
          <w:tcPr>
            <w:tcW w:w="943" w:type="dxa"/>
          </w:tcPr>
          <w:p>
            <w:pPr>
              <w:jc w:val="center"/>
              <w:rPr>
                <w:b/>
                <w:bCs/>
                <w:sz w:val="30"/>
              </w:rPr>
            </w:pPr>
            <w:r>
              <w:rPr>
                <w:rFonts w:hint="eastAsia" w:ascii="宋体" w:hAnsi="宋体" w:cs="宋体"/>
                <w:b/>
                <w:bCs/>
                <w:color w:val="000000"/>
                <w:sz w:val="18"/>
                <w:szCs w:val="18"/>
                <w:lang w:bidi="ar"/>
              </w:rPr>
              <w:t xml:space="preserve">姓名 </w:t>
            </w:r>
          </w:p>
        </w:tc>
        <w:tc>
          <w:tcPr>
            <w:tcW w:w="1566" w:type="dxa"/>
          </w:tcPr>
          <w:p>
            <w:pPr>
              <w:jc w:val="center"/>
              <w:rPr>
                <w:b/>
                <w:bCs/>
                <w:sz w:val="30"/>
              </w:rPr>
            </w:pPr>
            <w:r>
              <w:rPr>
                <w:rFonts w:hint="eastAsia" w:ascii="宋体" w:hAnsi="宋体" w:cs="宋体"/>
                <w:b/>
                <w:bCs/>
                <w:color w:val="000000"/>
                <w:sz w:val="18"/>
                <w:szCs w:val="18"/>
                <w:lang w:bidi="ar"/>
              </w:rPr>
              <w:t>证件号码</w:t>
            </w:r>
          </w:p>
        </w:tc>
        <w:tc>
          <w:tcPr>
            <w:tcW w:w="1566" w:type="dxa"/>
          </w:tcPr>
          <w:p>
            <w:pPr>
              <w:rPr>
                <w:b/>
                <w:bCs/>
                <w:sz w:val="30"/>
              </w:rPr>
            </w:pPr>
            <w:r>
              <w:rPr>
                <w:rFonts w:hint="eastAsia" w:ascii="宋体" w:hAnsi="宋体" w:cs="宋体"/>
                <w:b/>
                <w:bCs/>
                <w:color w:val="000000"/>
                <w:sz w:val="18"/>
                <w:szCs w:val="18"/>
                <w:lang w:bidi="ar"/>
              </w:rPr>
              <w:t xml:space="preserve">专业技术职务 </w:t>
            </w:r>
          </w:p>
        </w:tc>
        <w:tc>
          <w:tcPr>
            <w:tcW w:w="2487" w:type="dxa"/>
          </w:tcPr>
          <w:p>
            <w:pPr>
              <w:jc w:val="center"/>
              <w:rPr>
                <w:b/>
                <w:bCs/>
                <w:sz w:val="30"/>
              </w:rPr>
            </w:pPr>
            <w:r>
              <w:rPr>
                <w:rFonts w:hint="eastAsia" w:ascii="宋体" w:hAnsi="宋体" w:cs="宋体"/>
                <w:b/>
                <w:bCs/>
                <w:color w:val="000000"/>
                <w:sz w:val="18"/>
                <w:szCs w:val="18"/>
                <w:lang w:bidi="ar"/>
              </w:rPr>
              <w:t xml:space="preserve">依托单位名称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193" w:type="dxa"/>
            <w:vMerge w:val="continue"/>
          </w:tcPr>
          <w:p>
            <w:pPr>
              <w:jc w:val="center"/>
            </w:pPr>
          </w:p>
        </w:tc>
        <w:tc>
          <w:tcPr>
            <w:tcW w:w="943" w:type="dxa"/>
          </w:tcPr>
          <w:p>
            <w:pPr>
              <w:jc w:val="center"/>
            </w:pPr>
          </w:p>
        </w:tc>
        <w:tc>
          <w:tcPr>
            <w:tcW w:w="1566" w:type="dxa"/>
          </w:tcPr>
          <w:p>
            <w:pPr>
              <w:jc w:val="center"/>
              <w:rPr>
                <w:b/>
                <w:sz w:val="30"/>
              </w:rPr>
            </w:pPr>
          </w:p>
        </w:tc>
        <w:tc>
          <w:tcPr>
            <w:tcW w:w="1566" w:type="dxa"/>
          </w:tcPr>
          <w:p>
            <w:pPr>
              <w:jc w:val="center"/>
              <w:rPr>
                <w:b/>
                <w:sz w:val="30"/>
              </w:rPr>
            </w:pPr>
          </w:p>
        </w:tc>
        <w:tc>
          <w:tcPr>
            <w:tcW w:w="2487" w:type="dxa"/>
          </w:tcPr>
          <w:p>
            <w:pPr>
              <w:jc w:val="center"/>
              <w:rPr>
                <w:b/>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193" w:type="dxa"/>
            <w:vMerge w:val="continue"/>
          </w:tcPr>
          <w:p>
            <w:pPr>
              <w:jc w:val="center"/>
              <w:rPr>
                <w:b/>
                <w:sz w:val="30"/>
              </w:rPr>
            </w:pPr>
          </w:p>
        </w:tc>
        <w:tc>
          <w:tcPr>
            <w:tcW w:w="943" w:type="dxa"/>
          </w:tcPr>
          <w:p>
            <w:pPr>
              <w:jc w:val="center"/>
              <w:rPr>
                <w:b/>
                <w:sz w:val="30"/>
              </w:rPr>
            </w:pPr>
          </w:p>
        </w:tc>
        <w:tc>
          <w:tcPr>
            <w:tcW w:w="1566" w:type="dxa"/>
          </w:tcPr>
          <w:p>
            <w:pPr>
              <w:jc w:val="center"/>
              <w:rPr>
                <w:b/>
                <w:sz w:val="30"/>
              </w:rPr>
            </w:pPr>
          </w:p>
        </w:tc>
        <w:tc>
          <w:tcPr>
            <w:tcW w:w="1566" w:type="dxa"/>
          </w:tcPr>
          <w:p>
            <w:pPr>
              <w:jc w:val="center"/>
              <w:rPr>
                <w:b/>
                <w:sz w:val="30"/>
              </w:rPr>
            </w:pPr>
          </w:p>
        </w:tc>
        <w:tc>
          <w:tcPr>
            <w:tcW w:w="2487" w:type="dxa"/>
          </w:tcPr>
          <w:p>
            <w:pPr>
              <w:jc w:val="center"/>
              <w:rPr>
                <w:b/>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193" w:type="dxa"/>
            <w:vMerge w:val="continue"/>
          </w:tcPr>
          <w:p>
            <w:pPr>
              <w:jc w:val="center"/>
              <w:rPr>
                <w:b/>
                <w:sz w:val="30"/>
              </w:rPr>
            </w:pPr>
          </w:p>
        </w:tc>
        <w:tc>
          <w:tcPr>
            <w:tcW w:w="943" w:type="dxa"/>
          </w:tcPr>
          <w:p>
            <w:pPr>
              <w:jc w:val="center"/>
              <w:rPr>
                <w:b/>
                <w:sz w:val="30"/>
              </w:rPr>
            </w:pPr>
          </w:p>
        </w:tc>
        <w:tc>
          <w:tcPr>
            <w:tcW w:w="1566" w:type="dxa"/>
          </w:tcPr>
          <w:p>
            <w:pPr>
              <w:jc w:val="center"/>
              <w:rPr>
                <w:b/>
                <w:sz w:val="30"/>
              </w:rPr>
            </w:pPr>
          </w:p>
        </w:tc>
        <w:tc>
          <w:tcPr>
            <w:tcW w:w="1566" w:type="dxa"/>
          </w:tcPr>
          <w:p>
            <w:pPr>
              <w:jc w:val="center"/>
              <w:rPr>
                <w:b/>
                <w:sz w:val="30"/>
              </w:rPr>
            </w:pPr>
          </w:p>
        </w:tc>
        <w:tc>
          <w:tcPr>
            <w:tcW w:w="2487" w:type="dxa"/>
          </w:tcPr>
          <w:p>
            <w:pPr>
              <w:jc w:val="center"/>
              <w:rPr>
                <w:b/>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193" w:type="dxa"/>
            <w:vMerge w:val="continue"/>
          </w:tcPr>
          <w:p>
            <w:pPr>
              <w:jc w:val="center"/>
              <w:rPr>
                <w:b/>
                <w:sz w:val="30"/>
              </w:rPr>
            </w:pPr>
          </w:p>
        </w:tc>
        <w:tc>
          <w:tcPr>
            <w:tcW w:w="943" w:type="dxa"/>
          </w:tcPr>
          <w:p>
            <w:pPr>
              <w:jc w:val="center"/>
              <w:rPr>
                <w:b/>
                <w:sz w:val="30"/>
              </w:rPr>
            </w:pPr>
          </w:p>
        </w:tc>
        <w:tc>
          <w:tcPr>
            <w:tcW w:w="1566" w:type="dxa"/>
          </w:tcPr>
          <w:p>
            <w:pPr>
              <w:jc w:val="center"/>
              <w:rPr>
                <w:b/>
                <w:sz w:val="30"/>
              </w:rPr>
            </w:pPr>
          </w:p>
        </w:tc>
        <w:tc>
          <w:tcPr>
            <w:tcW w:w="1566" w:type="dxa"/>
          </w:tcPr>
          <w:p>
            <w:pPr>
              <w:jc w:val="center"/>
              <w:rPr>
                <w:b/>
                <w:sz w:val="30"/>
              </w:rPr>
            </w:pPr>
          </w:p>
        </w:tc>
        <w:tc>
          <w:tcPr>
            <w:tcW w:w="2487" w:type="dxa"/>
          </w:tcPr>
          <w:p>
            <w:pPr>
              <w:jc w:val="center"/>
              <w:rPr>
                <w:b/>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193" w:type="dxa"/>
            <w:vMerge w:val="continue"/>
          </w:tcPr>
          <w:p>
            <w:pPr>
              <w:jc w:val="center"/>
              <w:rPr>
                <w:b/>
                <w:sz w:val="30"/>
              </w:rPr>
            </w:pPr>
          </w:p>
        </w:tc>
        <w:tc>
          <w:tcPr>
            <w:tcW w:w="943" w:type="dxa"/>
          </w:tcPr>
          <w:p>
            <w:pPr>
              <w:jc w:val="center"/>
              <w:rPr>
                <w:b/>
                <w:sz w:val="30"/>
              </w:rPr>
            </w:pPr>
          </w:p>
        </w:tc>
        <w:tc>
          <w:tcPr>
            <w:tcW w:w="1566" w:type="dxa"/>
          </w:tcPr>
          <w:p>
            <w:pPr>
              <w:jc w:val="center"/>
              <w:rPr>
                <w:b/>
                <w:sz w:val="30"/>
              </w:rPr>
            </w:pPr>
          </w:p>
        </w:tc>
        <w:tc>
          <w:tcPr>
            <w:tcW w:w="1566" w:type="dxa"/>
          </w:tcPr>
          <w:p>
            <w:pPr>
              <w:jc w:val="center"/>
              <w:rPr>
                <w:b/>
                <w:sz w:val="30"/>
              </w:rPr>
            </w:pPr>
          </w:p>
        </w:tc>
        <w:tc>
          <w:tcPr>
            <w:tcW w:w="2487" w:type="dxa"/>
          </w:tcPr>
          <w:p>
            <w:pPr>
              <w:jc w:val="center"/>
              <w:rPr>
                <w:b/>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193" w:type="dxa"/>
            <w:vMerge w:val="continue"/>
          </w:tcPr>
          <w:p>
            <w:pPr>
              <w:jc w:val="center"/>
              <w:rPr>
                <w:b/>
                <w:sz w:val="30"/>
              </w:rPr>
            </w:pPr>
          </w:p>
        </w:tc>
        <w:tc>
          <w:tcPr>
            <w:tcW w:w="943" w:type="dxa"/>
          </w:tcPr>
          <w:p>
            <w:pPr>
              <w:jc w:val="center"/>
              <w:rPr>
                <w:b/>
                <w:sz w:val="30"/>
              </w:rPr>
            </w:pPr>
          </w:p>
        </w:tc>
        <w:tc>
          <w:tcPr>
            <w:tcW w:w="1566" w:type="dxa"/>
          </w:tcPr>
          <w:p>
            <w:pPr>
              <w:jc w:val="center"/>
              <w:rPr>
                <w:b/>
                <w:sz w:val="30"/>
              </w:rPr>
            </w:pPr>
          </w:p>
        </w:tc>
        <w:tc>
          <w:tcPr>
            <w:tcW w:w="1566" w:type="dxa"/>
          </w:tcPr>
          <w:p>
            <w:pPr>
              <w:jc w:val="center"/>
              <w:rPr>
                <w:b/>
                <w:sz w:val="30"/>
              </w:rPr>
            </w:pPr>
          </w:p>
        </w:tc>
        <w:tc>
          <w:tcPr>
            <w:tcW w:w="2487" w:type="dxa"/>
          </w:tcPr>
          <w:p>
            <w:pPr>
              <w:jc w:val="center"/>
              <w:rPr>
                <w:b/>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193" w:type="dxa"/>
          </w:tcPr>
          <w:p>
            <w:pPr>
              <w:rPr>
                <w:rFonts w:hint="default" w:ascii="仿宋" w:hAnsi="仿宋" w:eastAsia="仿宋" w:cs="仿宋"/>
                <w:b/>
                <w:sz w:val="24"/>
                <w:szCs w:val="20"/>
                <w:lang w:val="en-US" w:eastAsia="zh-CN"/>
              </w:rPr>
            </w:pPr>
            <w:r>
              <w:rPr>
                <w:rFonts w:hint="eastAsia" w:ascii="仿宋" w:hAnsi="仿宋" w:eastAsia="仿宋" w:cs="仿宋"/>
                <w:b/>
                <w:sz w:val="24"/>
                <w:szCs w:val="20"/>
                <w:lang w:val="en-US" w:eastAsia="zh-CN"/>
              </w:rPr>
              <w:t>团队</w:t>
            </w:r>
            <w:r>
              <w:rPr>
                <w:rFonts w:hint="default" w:ascii="仿宋" w:hAnsi="仿宋" w:eastAsia="仿宋" w:cs="仿宋"/>
                <w:b/>
                <w:sz w:val="24"/>
                <w:szCs w:val="20"/>
                <w:lang w:val="en-US" w:eastAsia="zh-CN"/>
              </w:rPr>
              <w:t>主申请人</w:t>
            </w:r>
          </w:p>
        </w:tc>
        <w:tc>
          <w:tcPr>
            <w:tcW w:w="943" w:type="dxa"/>
            <w:vAlign w:val="top"/>
          </w:tcPr>
          <w:p>
            <w:pPr>
              <w:rPr>
                <w:rFonts w:hint="eastAsia" w:ascii="仿宋" w:hAnsi="仿宋" w:eastAsia="仿宋" w:cs="仿宋"/>
                <w:b/>
                <w:sz w:val="24"/>
                <w:szCs w:val="20"/>
              </w:rPr>
            </w:pPr>
            <w:r>
              <w:rPr>
                <w:rFonts w:hint="eastAsia" w:ascii="仿宋" w:hAnsi="仿宋" w:eastAsia="仿宋" w:cs="仿宋"/>
                <w:b/>
                <w:sz w:val="24"/>
                <w:szCs w:val="20"/>
              </w:rPr>
              <w:t xml:space="preserve">姓名 </w:t>
            </w:r>
          </w:p>
        </w:tc>
        <w:tc>
          <w:tcPr>
            <w:tcW w:w="1566" w:type="dxa"/>
            <w:vAlign w:val="top"/>
          </w:tcPr>
          <w:p>
            <w:pPr>
              <w:jc w:val="center"/>
              <w:rPr>
                <w:rFonts w:hint="eastAsia" w:eastAsiaTheme="minorEastAsia"/>
                <w:b/>
                <w:sz w:val="30"/>
                <w:lang w:eastAsia="zh-CN"/>
              </w:rPr>
            </w:pPr>
            <w:r>
              <w:rPr>
                <w:rFonts w:hint="eastAsia" w:ascii="宋体" w:hAnsi="宋体" w:cs="宋体"/>
                <w:b/>
                <w:bCs/>
                <w:color w:val="000000"/>
                <w:sz w:val="18"/>
                <w:szCs w:val="18"/>
                <w:lang w:val="en-US" w:eastAsia="zh-CN" w:bidi="ar"/>
              </w:rPr>
              <w:t>国别</w:t>
            </w:r>
          </w:p>
        </w:tc>
        <w:tc>
          <w:tcPr>
            <w:tcW w:w="1566" w:type="dxa"/>
            <w:vAlign w:val="top"/>
          </w:tcPr>
          <w:p>
            <w:pPr>
              <w:rPr>
                <w:b/>
                <w:sz w:val="30"/>
              </w:rPr>
            </w:pPr>
            <w:r>
              <w:rPr>
                <w:rFonts w:hint="eastAsia" w:ascii="宋体" w:hAnsi="宋体" w:cs="宋体"/>
                <w:b/>
                <w:bCs/>
                <w:color w:val="000000"/>
                <w:sz w:val="18"/>
                <w:szCs w:val="18"/>
                <w:lang w:bidi="ar"/>
              </w:rPr>
              <w:t xml:space="preserve">专业技术职务 </w:t>
            </w:r>
          </w:p>
        </w:tc>
        <w:tc>
          <w:tcPr>
            <w:tcW w:w="2487" w:type="dxa"/>
            <w:vAlign w:val="top"/>
          </w:tcPr>
          <w:p>
            <w:pPr>
              <w:jc w:val="center"/>
              <w:rPr>
                <w:b/>
                <w:sz w:val="30"/>
              </w:rPr>
            </w:pPr>
            <w:r>
              <w:rPr>
                <w:rFonts w:hint="eastAsia" w:ascii="宋体" w:hAnsi="宋体" w:cs="宋体"/>
                <w:b/>
                <w:bCs/>
                <w:color w:val="000000"/>
                <w:sz w:val="18"/>
                <w:szCs w:val="18"/>
                <w:lang w:bidi="ar"/>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193" w:type="dxa"/>
          </w:tcPr>
          <w:p>
            <w:pPr>
              <w:jc w:val="center"/>
              <w:rPr>
                <w:rFonts w:hint="eastAsia" w:ascii="仿宋" w:hAnsi="仿宋" w:eastAsia="仿宋" w:cs="仿宋"/>
                <w:b/>
                <w:sz w:val="24"/>
                <w:szCs w:val="20"/>
              </w:rPr>
            </w:pPr>
          </w:p>
        </w:tc>
        <w:tc>
          <w:tcPr>
            <w:tcW w:w="943" w:type="dxa"/>
            <w:vAlign w:val="top"/>
          </w:tcPr>
          <w:p>
            <w:pPr>
              <w:jc w:val="center"/>
              <w:rPr>
                <w:rFonts w:hint="eastAsia" w:ascii="宋体" w:hAnsi="宋体" w:cs="宋体"/>
                <w:b/>
                <w:bCs/>
                <w:color w:val="000000"/>
                <w:sz w:val="18"/>
                <w:szCs w:val="18"/>
                <w:lang w:bidi="ar"/>
              </w:rPr>
            </w:pPr>
          </w:p>
        </w:tc>
        <w:tc>
          <w:tcPr>
            <w:tcW w:w="1566" w:type="dxa"/>
            <w:vAlign w:val="top"/>
          </w:tcPr>
          <w:p>
            <w:pPr>
              <w:jc w:val="center"/>
              <w:rPr>
                <w:rFonts w:hint="eastAsia" w:ascii="宋体" w:hAnsi="宋体" w:cs="宋体"/>
                <w:b/>
                <w:bCs/>
                <w:color w:val="000000"/>
                <w:sz w:val="18"/>
                <w:szCs w:val="18"/>
                <w:lang w:bidi="ar"/>
              </w:rPr>
            </w:pPr>
          </w:p>
        </w:tc>
        <w:tc>
          <w:tcPr>
            <w:tcW w:w="1566" w:type="dxa"/>
            <w:vAlign w:val="top"/>
          </w:tcPr>
          <w:p>
            <w:pPr>
              <w:rPr>
                <w:rFonts w:hint="eastAsia" w:ascii="宋体" w:hAnsi="宋体" w:cs="宋体"/>
                <w:b/>
                <w:bCs/>
                <w:color w:val="000000"/>
                <w:sz w:val="18"/>
                <w:szCs w:val="18"/>
                <w:lang w:bidi="ar"/>
              </w:rPr>
            </w:pPr>
          </w:p>
        </w:tc>
        <w:tc>
          <w:tcPr>
            <w:tcW w:w="2487" w:type="dxa"/>
            <w:vAlign w:val="top"/>
          </w:tcPr>
          <w:p>
            <w:pPr>
              <w:jc w:val="center"/>
              <w:rPr>
                <w:rFonts w:hint="eastAsia" w:ascii="宋体" w:hAnsi="宋体" w:cs="宋体"/>
                <w:b/>
                <w:bCs/>
                <w:color w:val="00000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193" w:type="dxa"/>
            <w:vAlign w:val="top"/>
          </w:tcPr>
          <w:p>
            <w:pPr>
              <w:jc w:val="both"/>
              <w:rPr>
                <w:rFonts w:hint="eastAsia" w:ascii="仿宋" w:hAnsi="仿宋" w:eastAsia="仿宋" w:cs="仿宋"/>
                <w:b/>
                <w:sz w:val="24"/>
                <w:szCs w:val="20"/>
              </w:rPr>
            </w:pPr>
            <w:r>
              <w:rPr>
                <w:rFonts w:hint="eastAsia" w:ascii="仿宋" w:hAnsi="仿宋" w:eastAsia="仿宋" w:cs="仿宋"/>
                <w:b/>
                <w:sz w:val="24"/>
                <w:szCs w:val="20"/>
              </w:rPr>
              <w:t>外方合作人</w:t>
            </w:r>
          </w:p>
        </w:tc>
        <w:tc>
          <w:tcPr>
            <w:tcW w:w="943" w:type="dxa"/>
            <w:vAlign w:val="top"/>
          </w:tcPr>
          <w:p>
            <w:pPr>
              <w:jc w:val="center"/>
              <w:rPr>
                <w:rFonts w:hint="eastAsia" w:ascii="宋体" w:hAnsi="宋体" w:cs="宋体"/>
                <w:b/>
                <w:bCs/>
                <w:color w:val="000000"/>
                <w:sz w:val="18"/>
                <w:szCs w:val="18"/>
                <w:lang w:bidi="ar"/>
              </w:rPr>
            </w:pPr>
            <w:r>
              <w:rPr>
                <w:rFonts w:hint="eastAsia" w:ascii="宋体" w:hAnsi="宋体" w:cs="宋体"/>
                <w:b/>
                <w:bCs/>
                <w:color w:val="000000"/>
                <w:sz w:val="18"/>
                <w:szCs w:val="18"/>
                <w:lang w:bidi="ar"/>
              </w:rPr>
              <w:t xml:space="preserve">姓名 </w:t>
            </w:r>
          </w:p>
        </w:tc>
        <w:tc>
          <w:tcPr>
            <w:tcW w:w="1566" w:type="dxa"/>
            <w:vAlign w:val="top"/>
          </w:tcPr>
          <w:p>
            <w:pPr>
              <w:jc w:val="center"/>
              <w:rPr>
                <w:rFonts w:hint="eastAsia" w:ascii="宋体" w:hAnsi="宋体" w:cs="宋体" w:eastAsiaTheme="minorEastAsia"/>
                <w:b/>
                <w:bCs/>
                <w:color w:val="000000"/>
                <w:sz w:val="18"/>
                <w:szCs w:val="18"/>
                <w:lang w:eastAsia="zh-CN" w:bidi="ar"/>
              </w:rPr>
            </w:pPr>
            <w:r>
              <w:rPr>
                <w:rFonts w:hint="eastAsia" w:ascii="宋体" w:hAnsi="宋体" w:cs="宋体"/>
                <w:b/>
                <w:bCs/>
                <w:color w:val="000000"/>
                <w:sz w:val="18"/>
                <w:szCs w:val="18"/>
                <w:lang w:val="en-US" w:eastAsia="zh-CN" w:bidi="ar"/>
              </w:rPr>
              <w:t>国别</w:t>
            </w:r>
          </w:p>
        </w:tc>
        <w:tc>
          <w:tcPr>
            <w:tcW w:w="1566" w:type="dxa"/>
            <w:vAlign w:val="top"/>
          </w:tcPr>
          <w:p>
            <w:pPr>
              <w:rPr>
                <w:rFonts w:hint="eastAsia" w:ascii="宋体" w:hAnsi="宋体" w:cs="宋体"/>
                <w:b/>
                <w:bCs/>
                <w:color w:val="000000"/>
                <w:sz w:val="18"/>
                <w:szCs w:val="18"/>
                <w:lang w:bidi="ar"/>
              </w:rPr>
            </w:pPr>
            <w:r>
              <w:rPr>
                <w:rFonts w:hint="eastAsia" w:ascii="宋体" w:hAnsi="宋体" w:cs="宋体"/>
                <w:b/>
                <w:bCs/>
                <w:color w:val="000000"/>
                <w:sz w:val="18"/>
                <w:szCs w:val="18"/>
                <w:lang w:bidi="ar"/>
              </w:rPr>
              <w:t xml:space="preserve">专业技术职务 </w:t>
            </w:r>
          </w:p>
        </w:tc>
        <w:tc>
          <w:tcPr>
            <w:tcW w:w="2487" w:type="dxa"/>
            <w:vAlign w:val="top"/>
          </w:tcPr>
          <w:p>
            <w:pPr>
              <w:jc w:val="center"/>
              <w:rPr>
                <w:rFonts w:hint="eastAsia" w:ascii="宋体" w:hAnsi="宋体" w:cs="宋体"/>
                <w:b/>
                <w:bCs/>
                <w:color w:val="000000"/>
                <w:sz w:val="18"/>
                <w:szCs w:val="18"/>
                <w:lang w:bidi="ar"/>
              </w:rPr>
            </w:pPr>
            <w:r>
              <w:rPr>
                <w:rFonts w:hint="eastAsia" w:ascii="宋体" w:hAnsi="宋体" w:cs="宋体"/>
                <w:b/>
                <w:bCs/>
                <w:color w:val="000000"/>
                <w:sz w:val="18"/>
                <w:szCs w:val="18"/>
                <w:lang w:bidi="ar"/>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193" w:type="dxa"/>
            <w:vAlign w:val="top"/>
          </w:tcPr>
          <w:p>
            <w:pPr>
              <w:jc w:val="both"/>
              <w:rPr>
                <w:rFonts w:hint="eastAsia" w:ascii="仿宋" w:hAnsi="仿宋" w:eastAsia="仿宋" w:cs="仿宋"/>
                <w:b/>
                <w:sz w:val="24"/>
                <w:szCs w:val="20"/>
              </w:rPr>
            </w:pPr>
          </w:p>
        </w:tc>
        <w:tc>
          <w:tcPr>
            <w:tcW w:w="943" w:type="dxa"/>
            <w:vAlign w:val="top"/>
          </w:tcPr>
          <w:p>
            <w:pPr>
              <w:jc w:val="center"/>
              <w:rPr>
                <w:rFonts w:hint="eastAsia" w:ascii="宋体" w:hAnsi="宋体" w:cs="宋体"/>
                <w:b/>
                <w:bCs/>
                <w:color w:val="000000"/>
                <w:sz w:val="18"/>
                <w:szCs w:val="18"/>
                <w:lang w:bidi="ar"/>
              </w:rPr>
            </w:pPr>
          </w:p>
        </w:tc>
        <w:tc>
          <w:tcPr>
            <w:tcW w:w="1566" w:type="dxa"/>
            <w:vAlign w:val="top"/>
          </w:tcPr>
          <w:p>
            <w:pPr>
              <w:jc w:val="center"/>
              <w:rPr>
                <w:rFonts w:hint="eastAsia" w:ascii="宋体" w:hAnsi="宋体" w:cs="宋体"/>
                <w:b/>
                <w:bCs/>
                <w:color w:val="000000"/>
                <w:sz w:val="18"/>
                <w:szCs w:val="18"/>
                <w:lang w:bidi="ar"/>
              </w:rPr>
            </w:pPr>
          </w:p>
        </w:tc>
        <w:tc>
          <w:tcPr>
            <w:tcW w:w="1566" w:type="dxa"/>
            <w:vAlign w:val="top"/>
          </w:tcPr>
          <w:p>
            <w:pPr>
              <w:rPr>
                <w:rFonts w:hint="eastAsia" w:ascii="宋体" w:hAnsi="宋体" w:cs="宋体"/>
                <w:b/>
                <w:bCs/>
                <w:color w:val="000000"/>
                <w:sz w:val="18"/>
                <w:szCs w:val="18"/>
                <w:lang w:bidi="ar"/>
              </w:rPr>
            </w:pPr>
          </w:p>
        </w:tc>
        <w:tc>
          <w:tcPr>
            <w:tcW w:w="2487" w:type="dxa"/>
            <w:vAlign w:val="top"/>
          </w:tcPr>
          <w:p>
            <w:pPr>
              <w:jc w:val="center"/>
              <w:rPr>
                <w:rFonts w:hint="eastAsia" w:ascii="宋体" w:hAnsi="宋体" w:cs="宋体"/>
                <w:b/>
                <w:bCs/>
                <w:color w:val="000000"/>
                <w:sz w:val="18"/>
                <w:szCs w:val="18"/>
                <w:lang w:bidi="ar"/>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193" w:type="dxa"/>
            <w:vAlign w:val="top"/>
          </w:tcPr>
          <w:p>
            <w:pPr>
              <w:jc w:val="both"/>
              <w:rPr>
                <w:rFonts w:hint="eastAsia" w:ascii="仿宋" w:hAnsi="仿宋" w:eastAsia="仿宋" w:cs="仿宋"/>
                <w:b/>
                <w:sz w:val="24"/>
                <w:szCs w:val="20"/>
              </w:rPr>
            </w:pPr>
          </w:p>
        </w:tc>
        <w:tc>
          <w:tcPr>
            <w:tcW w:w="943" w:type="dxa"/>
            <w:vAlign w:val="top"/>
          </w:tcPr>
          <w:p>
            <w:pPr>
              <w:jc w:val="center"/>
              <w:rPr>
                <w:rFonts w:hint="eastAsia" w:ascii="宋体" w:hAnsi="宋体" w:cs="宋体"/>
                <w:b/>
                <w:bCs/>
                <w:color w:val="000000"/>
                <w:sz w:val="18"/>
                <w:szCs w:val="18"/>
                <w:lang w:bidi="ar"/>
              </w:rPr>
            </w:pPr>
          </w:p>
        </w:tc>
        <w:tc>
          <w:tcPr>
            <w:tcW w:w="1566" w:type="dxa"/>
            <w:vAlign w:val="top"/>
          </w:tcPr>
          <w:p>
            <w:pPr>
              <w:jc w:val="center"/>
              <w:rPr>
                <w:rFonts w:hint="eastAsia" w:ascii="宋体" w:hAnsi="宋体" w:cs="宋体"/>
                <w:b/>
                <w:bCs/>
                <w:color w:val="000000"/>
                <w:sz w:val="18"/>
                <w:szCs w:val="18"/>
                <w:lang w:bidi="ar"/>
              </w:rPr>
            </w:pPr>
          </w:p>
        </w:tc>
        <w:tc>
          <w:tcPr>
            <w:tcW w:w="1566" w:type="dxa"/>
            <w:vAlign w:val="top"/>
          </w:tcPr>
          <w:p>
            <w:pPr>
              <w:rPr>
                <w:rFonts w:hint="eastAsia" w:ascii="宋体" w:hAnsi="宋体" w:cs="宋体"/>
                <w:b/>
                <w:bCs/>
                <w:color w:val="000000"/>
                <w:sz w:val="18"/>
                <w:szCs w:val="18"/>
                <w:lang w:bidi="ar"/>
              </w:rPr>
            </w:pPr>
          </w:p>
        </w:tc>
        <w:tc>
          <w:tcPr>
            <w:tcW w:w="2487" w:type="dxa"/>
            <w:vAlign w:val="top"/>
          </w:tcPr>
          <w:p>
            <w:pPr>
              <w:jc w:val="center"/>
              <w:rPr>
                <w:rFonts w:hint="eastAsia" w:ascii="宋体" w:hAnsi="宋体" w:cs="宋体"/>
                <w:b/>
                <w:bCs/>
                <w:color w:val="00000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193" w:type="dxa"/>
            <w:vAlign w:val="top"/>
          </w:tcPr>
          <w:p>
            <w:pPr>
              <w:jc w:val="both"/>
              <w:rPr>
                <w:rFonts w:hint="eastAsia" w:ascii="仿宋" w:hAnsi="仿宋" w:eastAsia="仿宋" w:cs="仿宋"/>
                <w:b/>
                <w:sz w:val="24"/>
                <w:szCs w:val="20"/>
              </w:rPr>
            </w:pPr>
          </w:p>
        </w:tc>
        <w:tc>
          <w:tcPr>
            <w:tcW w:w="943" w:type="dxa"/>
            <w:vAlign w:val="top"/>
          </w:tcPr>
          <w:p>
            <w:pPr>
              <w:jc w:val="center"/>
              <w:rPr>
                <w:rFonts w:hint="eastAsia" w:ascii="宋体" w:hAnsi="宋体" w:cs="宋体"/>
                <w:b/>
                <w:bCs/>
                <w:color w:val="000000"/>
                <w:sz w:val="18"/>
                <w:szCs w:val="18"/>
                <w:lang w:bidi="ar"/>
              </w:rPr>
            </w:pPr>
          </w:p>
        </w:tc>
        <w:tc>
          <w:tcPr>
            <w:tcW w:w="1566" w:type="dxa"/>
            <w:vAlign w:val="top"/>
          </w:tcPr>
          <w:p>
            <w:pPr>
              <w:jc w:val="center"/>
              <w:rPr>
                <w:rFonts w:hint="eastAsia" w:ascii="宋体" w:hAnsi="宋体" w:cs="宋体"/>
                <w:b/>
                <w:bCs/>
                <w:color w:val="000000"/>
                <w:sz w:val="18"/>
                <w:szCs w:val="18"/>
                <w:lang w:bidi="ar"/>
              </w:rPr>
            </w:pPr>
          </w:p>
        </w:tc>
        <w:tc>
          <w:tcPr>
            <w:tcW w:w="1566" w:type="dxa"/>
            <w:vAlign w:val="top"/>
          </w:tcPr>
          <w:p>
            <w:pPr>
              <w:rPr>
                <w:rFonts w:hint="eastAsia" w:ascii="宋体" w:hAnsi="宋体" w:cs="宋体"/>
                <w:b/>
                <w:bCs/>
                <w:color w:val="000000"/>
                <w:sz w:val="18"/>
                <w:szCs w:val="18"/>
                <w:lang w:bidi="ar"/>
              </w:rPr>
            </w:pPr>
          </w:p>
        </w:tc>
        <w:tc>
          <w:tcPr>
            <w:tcW w:w="2487" w:type="dxa"/>
            <w:vAlign w:val="top"/>
          </w:tcPr>
          <w:p>
            <w:pPr>
              <w:jc w:val="center"/>
              <w:rPr>
                <w:rFonts w:hint="eastAsia" w:ascii="宋体" w:hAnsi="宋体" w:cs="宋体"/>
                <w:b/>
                <w:bCs/>
                <w:color w:val="00000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193" w:type="dxa"/>
            <w:vAlign w:val="top"/>
          </w:tcPr>
          <w:p>
            <w:pPr>
              <w:jc w:val="both"/>
              <w:rPr>
                <w:rFonts w:hint="eastAsia" w:ascii="仿宋" w:hAnsi="仿宋" w:eastAsia="仿宋" w:cs="仿宋"/>
                <w:b/>
                <w:sz w:val="24"/>
                <w:szCs w:val="20"/>
              </w:rPr>
            </w:pPr>
          </w:p>
        </w:tc>
        <w:tc>
          <w:tcPr>
            <w:tcW w:w="943" w:type="dxa"/>
            <w:vAlign w:val="top"/>
          </w:tcPr>
          <w:p>
            <w:pPr>
              <w:jc w:val="center"/>
              <w:rPr>
                <w:rFonts w:hint="eastAsia" w:ascii="宋体" w:hAnsi="宋体" w:cs="宋体"/>
                <w:b/>
                <w:bCs/>
                <w:color w:val="000000"/>
                <w:sz w:val="18"/>
                <w:szCs w:val="18"/>
                <w:lang w:bidi="ar"/>
              </w:rPr>
            </w:pPr>
          </w:p>
        </w:tc>
        <w:tc>
          <w:tcPr>
            <w:tcW w:w="1566" w:type="dxa"/>
            <w:vAlign w:val="top"/>
          </w:tcPr>
          <w:p>
            <w:pPr>
              <w:jc w:val="center"/>
              <w:rPr>
                <w:rFonts w:hint="eastAsia" w:ascii="宋体" w:hAnsi="宋体" w:cs="宋体"/>
                <w:b/>
                <w:bCs/>
                <w:color w:val="000000"/>
                <w:sz w:val="18"/>
                <w:szCs w:val="18"/>
                <w:lang w:bidi="ar"/>
              </w:rPr>
            </w:pPr>
          </w:p>
        </w:tc>
        <w:tc>
          <w:tcPr>
            <w:tcW w:w="1566" w:type="dxa"/>
            <w:vAlign w:val="top"/>
          </w:tcPr>
          <w:p>
            <w:pPr>
              <w:rPr>
                <w:rFonts w:hint="eastAsia" w:ascii="宋体" w:hAnsi="宋体" w:cs="宋体"/>
                <w:b/>
                <w:bCs/>
                <w:color w:val="000000"/>
                <w:sz w:val="18"/>
                <w:szCs w:val="18"/>
                <w:lang w:bidi="ar"/>
              </w:rPr>
            </w:pPr>
          </w:p>
        </w:tc>
        <w:tc>
          <w:tcPr>
            <w:tcW w:w="2487" w:type="dxa"/>
            <w:vAlign w:val="top"/>
          </w:tcPr>
          <w:p>
            <w:pPr>
              <w:jc w:val="center"/>
              <w:rPr>
                <w:rFonts w:hint="eastAsia" w:ascii="宋体" w:hAnsi="宋体" w:cs="宋体"/>
                <w:b/>
                <w:bCs/>
                <w:color w:val="00000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2193" w:type="dxa"/>
            <w:vAlign w:val="top"/>
          </w:tcPr>
          <w:p>
            <w:pPr>
              <w:jc w:val="both"/>
              <w:rPr>
                <w:rFonts w:hint="eastAsia" w:ascii="仿宋" w:hAnsi="仿宋" w:eastAsia="仿宋" w:cs="仿宋"/>
                <w:b/>
                <w:sz w:val="24"/>
                <w:szCs w:val="20"/>
              </w:rPr>
            </w:pPr>
          </w:p>
        </w:tc>
        <w:tc>
          <w:tcPr>
            <w:tcW w:w="943" w:type="dxa"/>
            <w:vAlign w:val="top"/>
          </w:tcPr>
          <w:p>
            <w:pPr>
              <w:jc w:val="center"/>
              <w:rPr>
                <w:rFonts w:hint="eastAsia" w:ascii="宋体" w:hAnsi="宋体" w:cs="宋体"/>
                <w:b/>
                <w:bCs/>
                <w:color w:val="000000"/>
                <w:sz w:val="18"/>
                <w:szCs w:val="18"/>
                <w:lang w:bidi="ar"/>
              </w:rPr>
            </w:pPr>
          </w:p>
        </w:tc>
        <w:tc>
          <w:tcPr>
            <w:tcW w:w="1566" w:type="dxa"/>
            <w:vAlign w:val="top"/>
          </w:tcPr>
          <w:p>
            <w:pPr>
              <w:jc w:val="center"/>
              <w:rPr>
                <w:rFonts w:hint="eastAsia" w:ascii="宋体" w:hAnsi="宋体" w:cs="宋体"/>
                <w:b/>
                <w:bCs/>
                <w:color w:val="000000"/>
                <w:sz w:val="18"/>
                <w:szCs w:val="18"/>
                <w:lang w:bidi="ar"/>
              </w:rPr>
            </w:pPr>
          </w:p>
        </w:tc>
        <w:tc>
          <w:tcPr>
            <w:tcW w:w="1566" w:type="dxa"/>
            <w:vAlign w:val="top"/>
          </w:tcPr>
          <w:p>
            <w:pPr>
              <w:rPr>
                <w:rFonts w:hint="eastAsia" w:ascii="宋体" w:hAnsi="宋体" w:cs="宋体"/>
                <w:b/>
                <w:bCs/>
                <w:color w:val="000000"/>
                <w:sz w:val="18"/>
                <w:szCs w:val="18"/>
                <w:lang w:bidi="ar"/>
              </w:rPr>
            </w:pPr>
          </w:p>
        </w:tc>
        <w:tc>
          <w:tcPr>
            <w:tcW w:w="2487" w:type="dxa"/>
            <w:vAlign w:val="top"/>
          </w:tcPr>
          <w:p>
            <w:pPr>
              <w:jc w:val="center"/>
              <w:rPr>
                <w:rFonts w:hint="eastAsia" w:ascii="宋体" w:hAnsi="宋体" w:cs="宋体"/>
                <w:b/>
                <w:bCs/>
                <w:color w:val="000000"/>
                <w:sz w:val="18"/>
                <w:szCs w:val="18"/>
                <w:lang w:bidi="ar"/>
              </w:rPr>
            </w:pPr>
          </w:p>
        </w:tc>
      </w:tr>
    </w:tbl>
    <w:p/>
    <w:p>
      <w:pPr>
        <w:ind w:left="578" w:right="403"/>
      </w:pPr>
    </w:p>
    <w:p/>
    <w:p>
      <w:pPr>
        <w:rPr>
          <w:rFonts w:eastAsia="PMingLiU"/>
          <w:lang w:eastAsia="zh-TW"/>
        </w:rPr>
      </w:pPr>
    </w:p>
    <w:sectPr>
      <w:headerReference r:id="rId3" w:type="default"/>
      <w:footerReference r:id="rId4" w:type="default"/>
      <w:pgSz w:w="12240" w:h="15840"/>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3DA9E983-18C3-4236-80C8-100E33E86494}"/>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2B99746B-8838-4DE7-9BAC-ACBDCC209235}"/>
  </w:font>
  <w:font w:name="仿宋">
    <w:panose1 w:val="02010609060101010101"/>
    <w:charset w:val="86"/>
    <w:family w:val="modern"/>
    <w:pitch w:val="default"/>
    <w:sig w:usb0="800002BF" w:usb1="38CF7CFA" w:usb2="00000016" w:usb3="00000000" w:csb0="00040001" w:csb1="00000000"/>
    <w:embedRegular r:id="rId3" w:fontKey="{A6A42853-D2C0-4C33-9BF6-8DC894547C9F}"/>
  </w:font>
  <w:font w:name="PMingLiU">
    <w:altName w:val="PMingLiU-ExtB"/>
    <w:panose1 w:val="02020500000000000000"/>
    <w:charset w:val="88"/>
    <w:family w:val="roman"/>
    <w:pitch w:val="default"/>
    <w:sig w:usb0="00000000" w:usb1="00000000" w:usb2="00000016" w:usb3="00000000" w:csb0="00100001" w:csb1="00000000"/>
    <w:embedRegular r:id="rId4" w:fontKey="{9B69E32B-C307-4D2F-9D62-DCBB46659A79}"/>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10800"/>
        <w:tab w:val="clear" w:pos="9360"/>
      </w:tabs>
      <w:rPr>
        <w:sz w:val="18"/>
      </w:rPr>
    </w:pPr>
    <w:r>
      <w:rPr>
        <w:sz w:val="18"/>
        <w:szCs w:val="18"/>
      </w:rPr>
      <w:tab/>
    </w:r>
    <w:r>
      <w:rPr>
        <w:sz w:val="18"/>
        <w:szCs w:val="18"/>
      </w:rPr>
      <w:tab/>
    </w:r>
    <w:r>
      <w:rPr>
        <w:sz w:val="18"/>
        <w:szCs w:val="18"/>
      </w:rPr>
      <w:fldChar w:fldCharType="begin"/>
    </w:r>
    <w:r>
      <w:rPr>
        <w:sz w:val="18"/>
        <w:szCs w:val="18"/>
      </w:rPr>
      <w:instrText xml:space="preserve"> PAGE   \* MERGEFORMAT </w:instrText>
    </w:r>
    <w:r>
      <w:rPr>
        <w:sz w:val="18"/>
        <w:szCs w:val="18"/>
      </w:rPr>
      <w:fldChar w:fldCharType="separate"/>
    </w:r>
    <w:r>
      <w:rPr>
        <w:sz w:val="18"/>
        <w:szCs w:val="18"/>
      </w:rPr>
      <w:t>8</w:t>
    </w:r>
    <w:r>
      <w:rPr>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10710"/>
        <w:tab w:val="clear" w:pos="9360"/>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TrueTypeFonts/>
  <w:saveSubsetFonts/>
  <w:bordersDoNotSurroundHeader w:val="1"/>
  <w:bordersDoNotSurroundFooter w:val="1"/>
  <w:documentProtection w:enforcement="0"/>
  <w:defaultTabStop w:val="7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3C7"/>
    <w:rsid w:val="00002E4A"/>
    <w:rsid w:val="0000612F"/>
    <w:rsid w:val="00011C66"/>
    <w:rsid w:val="000210AE"/>
    <w:rsid w:val="00025452"/>
    <w:rsid w:val="00026850"/>
    <w:rsid w:val="00027706"/>
    <w:rsid w:val="0003038F"/>
    <w:rsid w:val="00040B0C"/>
    <w:rsid w:val="00046AA3"/>
    <w:rsid w:val="000556D3"/>
    <w:rsid w:val="0005656F"/>
    <w:rsid w:val="00061A60"/>
    <w:rsid w:val="00074AC6"/>
    <w:rsid w:val="000818A7"/>
    <w:rsid w:val="0008282C"/>
    <w:rsid w:val="00094848"/>
    <w:rsid w:val="000A0952"/>
    <w:rsid w:val="000A27AB"/>
    <w:rsid w:val="000A2CB6"/>
    <w:rsid w:val="000A4E0A"/>
    <w:rsid w:val="000A6F3B"/>
    <w:rsid w:val="000B09FC"/>
    <w:rsid w:val="000B41A6"/>
    <w:rsid w:val="000B6D1D"/>
    <w:rsid w:val="000B72B5"/>
    <w:rsid w:val="000B7CE2"/>
    <w:rsid w:val="000C6C8A"/>
    <w:rsid w:val="000D0BFF"/>
    <w:rsid w:val="000D2392"/>
    <w:rsid w:val="000D45B6"/>
    <w:rsid w:val="000D6A77"/>
    <w:rsid w:val="000D75E8"/>
    <w:rsid w:val="000E03FD"/>
    <w:rsid w:val="000E0627"/>
    <w:rsid w:val="000E0947"/>
    <w:rsid w:val="000E2C15"/>
    <w:rsid w:val="000E3109"/>
    <w:rsid w:val="000E3EB4"/>
    <w:rsid w:val="000E5011"/>
    <w:rsid w:val="000F25AC"/>
    <w:rsid w:val="000F614B"/>
    <w:rsid w:val="00103A07"/>
    <w:rsid w:val="001266B8"/>
    <w:rsid w:val="00126CC6"/>
    <w:rsid w:val="00145024"/>
    <w:rsid w:val="001452A7"/>
    <w:rsid w:val="0014628D"/>
    <w:rsid w:val="001467EF"/>
    <w:rsid w:val="00146FD5"/>
    <w:rsid w:val="001574DD"/>
    <w:rsid w:val="00161F64"/>
    <w:rsid w:val="00162FFC"/>
    <w:rsid w:val="001642E2"/>
    <w:rsid w:val="001667DA"/>
    <w:rsid w:val="00175FCD"/>
    <w:rsid w:val="00177992"/>
    <w:rsid w:val="00185F06"/>
    <w:rsid w:val="001866D9"/>
    <w:rsid w:val="00186DBF"/>
    <w:rsid w:val="00190189"/>
    <w:rsid w:val="00191AF2"/>
    <w:rsid w:val="00195979"/>
    <w:rsid w:val="001A639B"/>
    <w:rsid w:val="001A6520"/>
    <w:rsid w:val="001B04FC"/>
    <w:rsid w:val="001C0FBC"/>
    <w:rsid w:val="001C1EF1"/>
    <w:rsid w:val="001C36AF"/>
    <w:rsid w:val="001C3DC3"/>
    <w:rsid w:val="001C45C0"/>
    <w:rsid w:val="001C63B6"/>
    <w:rsid w:val="001D5F3C"/>
    <w:rsid w:val="001E153A"/>
    <w:rsid w:val="001E37D9"/>
    <w:rsid w:val="001E616C"/>
    <w:rsid w:val="001F47C8"/>
    <w:rsid w:val="001F5EF9"/>
    <w:rsid w:val="00204067"/>
    <w:rsid w:val="002062C1"/>
    <w:rsid w:val="00212B83"/>
    <w:rsid w:val="0022085D"/>
    <w:rsid w:val="00225170"/>
    <w:rsid w:val="00230890"/>
    <w:rsid w:val="0023440E"/>
    <w:rsid w:val="0023463A"/>
    <w:rsid w:val="00234992"/>
    <w:rsid w:val="00236060"/>
    <w:rsid w:val="0023622F"/>
    <w:rsid w:val="002402E8"/>
    <w:rsid w:val="002429DF"/>
    <w:rsid w:val="002434C7"/>
    <w:rsid w:val="00244161"/>
    <w:rsid w:val="00244297"/>
    <w:rsid w:val="002511B0"/>
    <w:rsid w:val="002513AB"/>
    <w:rsid w:val="00253AA7"/>
    <w:rsid w:val="00256303"/>
    <w:rsid w:val="00256984"/>
    <w:rsid w:val="00256B92"/>
    <w:rsid w:val="00262F1B"/>
    <w:rsid w:val="0026610C"/>
    <w:rsid w:val="002666F9"/>
    <w:rsid w:val="00273B19"/>
    <w:rsid w:val="00280141"/>
    <w:rsid w:val="00280EBF"/>
    <w:rsid w:val="002816CA"/>
    <w:rsid w:val="00283BED"/>
    <w:rsid w:val="0028575D"/>
    <w:rsid w:val="00293554"/>
    <w:rsid w:val="002A12D3"/>
    <w:rsid w:val="002A192B"/>
    <w:rsid w:val="002A47CE"/>
    <w:rsid w:val="002A5C10"/>
    <w:rsid w:val="002B018E"/>
    <w:rsid w:val="002B5C0F"/>
    <w:rsid w:val="002B6E01"/>
    <w:rsid w:val="002C3889"/>
    <w:rsid w:val="002D6D8C"/>
    <w:rsid w:val="002E1AEF"/>
    <w:rsid w:val="002E7E0D"/>
    <w:rsid w:val="002F53EB"/>
    <w:rsid w:val="002F6BE3"/>
    <w:rsid w:val="00305BF0"/>
    <w:rsid w:val="003060CD"/>
    <w:rsid w:val="003120EC"/>
    <w:rsid w:val="003159D9"/>
    <w:rsid w:val="00320615"/>
    <w:rsid w:val="0032068F"/>
    <w:rsid w:val="00324C12"/>
    <w:rsid w:val="00337D54"/>
    <w:rsid w:val="003413EB"/>
    <w:rsid w:val="00341FB0"/>
    <w:rsid w:val="003422BC"/>
    <w:rsid w:val="00345782"/>
    <w:rsid w:val="00347058"/>
    <w:rsid w:val="00352179"/>
    <w:rsid w:val="00353991"/>
    <w:rsid w:val="003604F5"/>
    <w:rsid w:val="003607AA"/>
    <w:rsid w:val="00361441"/>
    <w:rsid w:val="003622D6"/>
    <w:rsid w:val="00363B6F"/>
    <w:rsid w:val="0038180A"/>
    <w:rsid w:val="00381BFC"/>
    <w:rsid w:val="003832A4"/>
    <w:rsid w:val="00383CDB"/>
    <w:rsid w:val="00383FC7"/>
    <w:rsid w:val="00384394"/>
    <w:rsid w:val="003904C8"/>
    <w:rsid w:val="003910DC"/>
    <w:rsid w:val="003A199B"/>
    <w:rsid w:val="003A2784"/>
    <w:rsid w:val="003A390B"/>
    <w:rsid w:val="003A6082"/>
    <w:rsid w:val="003B38A4"/>
    <w:rsid w:val="003B55A5"/>
    <w:rsid w:val="003C0A31"/>
    <w:rsid w:val="003C0E02"/>
    <w:rsid w:val="003C5657"/>
    <w:rsid w:val="003C6158"/>
    <w:rsid w:val="003C7AA2"/>
    <w:rsid w:val="003D3B1A"/>
    <w:rsid w:val="003D6D69"/>
    <w:rsid w:val="003E12AB"/>
    <w:rsid w:val="003E17B0"/>
    <w:rsid w:val="003E7356"/>
    <w:rsid w:val="003F10CF"/>
    <w:rsid w:val="003F189B"/>
    <w:rsid w:val="003F40CC"/>
    <w:rsid w:val="003F418D"/>
    <w:rsid w:val="003F7896"/>
    <w:rsid w:val="004062D6"/>
    <w:rsid w:val="004078F0"/>
    <w:rsid w:val="004100C4"/>
    <w:rsid w:val="00413E10"/>
    <w:rsid w:val="00413F5C"/>
    <w:rsid w:val="00414128"/>
    <w:rsid w:val="004171AD"/>
    <w:rsid w:val="00420D77"/>
    <w:rsid w:val="0042359A"/>
    <w:rsid w:val="00423BE7"/>
    <w:rsid w:val="00425447"/>
    <w:rsid w:val="004274AD"/>
    <w:rsid w:val="0043389E"/>
    <w:rsid w:val="004366D0"/>
    <w:rsid w:val="00454BDD"/>
    <w:rsid w:val="00457D9F"/>
    <w:rsid w:val="00465837"/>
    <w:rsid w:val="00470C01"/>
    <w:rsid w:val="00476988"/>
    <w:rsid w:val="00483C6B"/>
    <w:rsid w:val="004874EB"/>
    <w:rsid w:val="0049091F"/>
    <w:rsid w:val="0049147D"/>
    <w:rsid w:val="004929D6"/>
    <w:rsid w:val="00495689"/>
    <w:rsid w:val="004A17B9"/>
    <w:rsid w:val="004A2C1B"/>
    <w:rsid w:val="004A76D8"/>
    <w:rsid w:val="004B0A18"/>
    <w:rsid w:val="004B3EC6"/>
    <w:rsid w:val="004B6683"/>
    <w:rsid w:val="004B7F1E"/>
    <w:rsid w:val="004C5889"/>
    <w:rsid w:val="004D3069"/>
    <w:rsid w:val="004D5B7B"/>
    <w:rsid w:val="004E13B4"/>
    <w:rsid w:val="004E4BB0"/>
    <w:rsid w:val="004F42A4"/>
    <w:rsid w:val="00510E59"/>
    <w:rsid w:val="0051126D"/>
    <w:rsid w:val="00513413"/>
    <w:rsid w:val="00514BC4"/>
    <w:rsid w:val="00517217"/>
    <w:rsid w:val="00522D72"/>
    <w:rsid w:val="0052423A"/>
    <w:rsid w:val="00525B73"/>
    <w:rsid w:val="005318A4"/>
    <w:rsid w:val="005331F2"/>
    <w:rsid w:val="00535CAF"/>
    <w:rsid w:val="00540692"/>
    <w:rsid w:val="00541221"/>
    <w:rsid w:val="00545585"/>
    <w:rsid w:val="005463C7"/>
    <w:rsid w:val="005510BA"/>
    <w:rsid w:val="005525B8"/>
    <w:rsid w:val="0055655E"/>
    <w:rsid w:val="0055781A"/>
    <w:rsid w:val="00560C8E"/>
    <w:rsid w:val="00571175"/>
    <w:rsid w:val="00594D35"/>
    <w:rsid w:val="005A092C"/>
    <w:rsid w:val="005A094D"/>
    <w:rsid w:val="005A1B99"/>
    <w:rsid w:val="005B07D1"/>
    <w:rsid w:val="005B1E1B"/>
    <w:rsid w:val="005B2EE3"/>
    <w:rsid w:val="005C144B"/>
    <w:rsid w:val="005C6A90"/>
    <w:rsid w:val="005C6CC6"/>
    <w:rsid w:val="005D188F"/>
    <w:rsid w:val="005D2C1C"/>
    <w:rsid w:val="005D3E4E"/>
    <w:rsid w:val="005D45DB"/>
    <w:rsid w:val="005E4EEF"/>
    <w:rsid w:val="005E507C"/>
    <w:rsid w:val="005E55A5"/>
    <w:rsid w:val="005F35F5"/>
    <w:rsid w:val="005F4841"/>
    <w:rsid w:val="005F49BF"/>
    <w:rsid w:val="005F54C0"/>
    <w:rsid w:val="006000ED"/>
    <w:rsid w:val="00600A98"/>
    <w:rsid w:val="00604D19"/>
    <w:rsid w:val="00610AC0"/>
    <w:rsid w:val="00614271"/>
    <w:rsid w:val="00615B6C"/>
    <w:rsid w:val="00623083"/>
    <w:rsid w:val="006258AF"/>
    <w:rsid w:val="006258BC"/>
    <w:rsid w:val="006267A4"/>
    <w:rsid w:val="00627539"/>
    <w:rsid w:val="006339FA"/>
    <w:rsid w:val="00641E22"/>
    <w:rsid w:val="00642197"/>
    <w:rsid w:val="00642395"/>
    <w:rsid w:val="00646E13"/>
    <w:rsid w:val="006509C4"/>
    <w:rsid w:val="00652278"/>
    <w:rsid w:val="00655BD5"/>
    <w:rsid w:val="00661BAB"/>
    <w:rsid w:val="0066220F"/>
    <w:rsid w:val="00663D21"/>
    <w:rsid w:val="00665499"/>
    <w:rsid w:val="006726C1"/>
    <w:rsid w:val="00673938"/>
    <w:rsid w:val="00676575"/>
    <w:rsid w:val="00677531"/>
    <w:rsid w:val="00680874"/>
    <w:rsid w:val="00681DEB"/>
    <w:rsid w:val="0068585E"/>
    <w:rsid w:val="00694CD0"/>
    <w:rsid w:val="00697225"/>
    <w:rsid w:val="00697424"/>
    <w:rsid w:val="006A3CAC"/>
    <w:rsid w:val="006A6FCD"/>
    <w:rsid w:val="006A7D91"/>
    <w:rsid w:val="006B0D0A"/>
    <w:rsid w:val="006B1F1A"/>
    <w:rsid w:val="006C012C"/>
    <w:rsid w:val="006C37FC"/>
    <w:rsid w:val="006C5F18"/>
    <w:rsid w:val="006D07FB"/>
    <w:rsid w:val="006D2BCD"/>
    <w:rsid w:val="006D2FE7"/>
    <w:rsid w:val="006D5B03"/>
    <w:rsid w:val="006D7A0D"/>
    <w:rsid w:val="006E5DE6"/>
    <w:rsid w:val="006F233F"/>
    <w:rsid w:val="006F2734"/>
    <w:rsid w:val="006F5B5C"/>
    <w:rsid w:val="006F709C"/>
    <w:rsid w:val="00701BB0"/>
    <w:rsid w:val="00710C80"/>
    <w:rsid w:val="00724BF5"/>
    <w:rsid w:val="00727DF0"/>
    <w:rsid w:val="007306D5"/>
    <w:rsid w:val="007361D7"/>
    <w:rsid w:val="00740216"/>
    <w:rsid w:val="00744022"/>
    <w:rsid w:val="007440FC"/>
    <w:rsid w:val="00744D1F"/>
    <w:rsid w:val="00746CC1"/>
    <w:rsid w:val="0075371E"/>
    <w:rsid w:val="00761C38"/>
    <w:rsid w:val="00765021"/>
    <w:rsid w:val="00765698"/>
    <w:rsid w:val="0077714C"/>
    <w:rsid w:val="00781BD6"/>
    <w:rsid w:val="007856E5"/>
    <w:rsid w:val="00792251"/>
    <w:rsid w:val="00797DCD"/>
    <w:rsid w:val="007A14A5"/>
    <w:rsid w:val="007A234E"/>
    <w:rsid w:val="007A2E3D"/>
    <w:rsid w:val="007A3276"/>
    <w:rsid w:val="007A3FF9"/>
    <w:rsid w:val="007A6099"/>
    <w:rsid w:val="007A693B"/>
    <w:rsid w:val="007B7E74"/>
    <w:rsid w:val="007C273F"/>
    <w:rsid w:val="007D1C69"/>
    <w:rsid w:val="007D2294"/>
    <w:rsid w:val="007D2709"/>
    <w:rsid w:val="007E0ED8"/>
    <w:rsid w:val="007E278F"/>
    <w:rsid w:val="007E558D"/>
    <w:rsid w:val="007E57F6"/>
    <w:rsid w:val="007E6994"/>
    <w:rsid w:val="007E72D1"/>
    <w:rsid w:val="007F297D"/>
    <w:rsid w:val="00805D02"/>
    <w:rsid w:val="00806E44"/>
    <w:rsid w:val="0081230F"/>
    <w:rsid w:val="00812BF0"/>
    <w:rsid w:val="00813A4B"/>
    <w:rsid w:val="00822103"/>
    <w:rsid w:val="008235CD"/>
    <w:rsid w:val="00826863"/>
    <w:rsid w:val="008429E0"/>
    <w:rsid w:val="00843446"/>
    <w:rsid w:val="0084398D"/>
    <w:rsid w:val="008447C3"/>
    <w:rsid w:val="008467BD"/>
    <w:rsid w:val="008518ED"/>
    <w:rsid w:val="008526BF"/>
    <w:rsid w:val="00852A89"/>
    <w:rsid w:val="00857492"/>
    <w:rsid w:val="00860602"/>
    <w:rsid w:val="0086403F"/>
    <w:rsid w:val="008646B1"/>
    <w:rsid w:val="008770C8"/>
    <w:rsid w:val="008802FF"/>
    <w:rsid w:val="008828F5"/>
    <w:rsid w:val="008868BA"/>
    <w:rsid w:val="00897BEF"/>
    <w:rsid w:val="008A0760"/>
    <w:rsid w:val="008A2815"/>
    <w:rsid w:val="008A2A56"/>
    <w:rsid w:val="008A5B8A"/>
    <w:rsid w:val="008A5E3C"/>
    <w:rsid w:val="008B1B2C"/>
    <w:rsid w:val="008B45EF"/>
    <w:rsid w:val="008C265C"/>
    <w:rsid w:val="008C2DCE"/>
    <w:rsid w:val="008C3FA2"/>
    <w:rsid w:val="008C4B99"/>
    <w:rsid w:val="008C627D"/>
    <w:rsid w:val="008D75C6"/>
    <w:rsid w:val="008E13BB"/>
    <w:rsid w:val="008E2E82"/>
    <w:rsid w:val="008E39A8"/>
    <w:rsid w:val="008E757B"/>
    <w:rsid w:val="008F4129"/>
    <w:rsid w:val="008F465B"/>
    <w:rsid w:val="008F62DD"/>
    <w:rsid w:val="008F6B14"/>
    <w:rsid w:val="00903B04"/>
    <w:rsid w:val="0090740D"/>
    <w:rsid w:val="0092068A"/>
    <w:rsid w:val="00921739"/>
    <w:rsid w:val="00923A2E"/>
    <w:rsid w:val="009256D3"/>
    <w:rsid w:val="00933080"/>
    <w:rsid w:val="00933F17"/>
    <w:rsid w:val="009507AD"/>
    <w:rsid w:val="0095413C"/>
    <w:rsid w:val="0095742E"/>
    <w:rsid w:val="009772A6"/>
    <w:rsid w:val="009779D9"/>
    <w:rsid w:val="0098196C"/>
    <w:rsid w:val="00986701"/>
    <w:rsid w:val="00986E44"/>
    <w:rsid w:val="009915A5"/>
    <w:rsid w:val="00993DB4"/>
    <w:rsid w:val="00994155"/>
    <w:rsid w:val="009A1E11"/>
    <w:rsid w:val="009A292D"/>
    <w:rsid w:val="009A2BB2"/>
    <w:rsid w:val="009A5F0D"/>
    <w:rsid w:val="009B0077"/>
    <w:rsid w:val="009B0D30"/>
    <w:rsid w:val="009B3671"/>
    <w:rsid w:val="009B4350"/>
    <w:rsid w:val="009B5B87"/>
    <w:rsid w:val="009C0E5B"/>
    <w:rsid w:val="009C2AB0"/>
    <w:rsid w:val="009C320E"/>
    <w:rsid w:val="009D06BC"/>
    <w:rsid w:val="009D138A"/>
    <w:rsid w:val="009D2553"/>
    <w:rsid w:val="009D6743"/>
    <w:rsid w:val="009D7A48"/>
    <w:rsid w:val="009E2110"/>
    <w:rsid w:val="009E378F"/>
    <w:rsid w:val="009E44F0"/>
    <w:rsid w:val="009F0484"/>
    <w:rsid w:val="009F5385"/>
    <w:rsid w:val="009F6E2B"/>
    <w:rsid w:val="009F743F"/>
    <w:rsid w:val="00A078EE"/>
    <w:rsid w:val="00A14252"/>
    <w:rsid w:val="00A16FB5"/>
    <w:rsid w:val="00A177F4"/>
    <w:rsid w:val="00A22112"/>
    <w:rsid w:val="00A221A2"/>
    <w:rsid w:val="00A246D9"/>
    <w:rsid w:val="00A2566E"/>
    <w:rsid w:val="00A263C4"/>
    <w:rsid w:val="00A322D5"/>
    <w:rsid w:val="00A33327"/>
    <w:rsid w:val="00A34B60"/>
    <w:rsid w:val="00A4215B"/>
    <w:rsid w:val="00A43162"/>
    <w:rsid w:val="00A43390"/>
    <w:rsid w:val="00A456EB"/>
    <w:rsid w:val="00A52C62"/>
    <w:rsid w:val="00A56B43"/>
    <w:rsid w:val="00A60DF8"/>
    <w:rsid w:val="00A625BF"/>
    <w:rsid w:val="00A64353"/>
    <w:rsid w:val="00A81AD4"/>
    <w:rsid w:val="00A83F65"/>
    <w:rsid w:val="00A84756"/>
    <w:rsid w:val="00A858B2"/>
    <w:rsid w:val="00A87CFA"/>
    <w:rsid w:val="00A942CD"/>
    <w:rsid w:val="00A94964"/>
    <w:rsid w:val="00A9502B"/>
    <w:rsid w:val="00A95B3C"/>
    <w:rsid w:val="00A96D63"/>
    <w:rsid w:val="00AA3667"/>
    <w:rsid w:val="00AA3963"/>
    <w:rsid w:val="00AA3F56"/>
    <w:rsid w:val="00AA79EB"/>
    <w:rsid w:val="00AC0BDB"/>
    <w:rsid w:val="00AC125B"/>
    <w:rsid w:val="00AC411A"/>
    <w:rsid w:val="00AC4E7D"/>
    <w:rsid w:val="00AD068E"/>
    <w:rsid w:val="00AD5AAD"/>
    <w:rsid w:val="00AE15E8"/>
    <w:rsid w:val="00AE3D52"/>
    <w:rsid w:val="00AF3793"/>
    <w:rsid w:val="00AF3FCF"/>
    <w:rsid w:val="00AF4A6C"/>
    <w:rsid w:val="00B02CE5"/>
    <w:rsid w:val="00B05415"/>
    <w:rsid w:val="00B057F1"/>
    <w:rsid w:val="00B07024"/>
    <w:rsid w:val="00B135B5"/>
    <w:rsid w:val="00B3275F"/>
    <w:rsid w:val="00B3411A"/>
    <w:rsid w:val="00B3513F"/>
    <w:rsid w:val="00B35C3A"/>
    <w:rsid w:val="00B3642E"/>
    <w:rsid w:val="00B366A4"/>
    <w:rsid w:val="00B37E36"/>
    <w:rsid w:val="00B56BF3"/>
    <w:rsid w:val="00B63339"/>
    <w:rsid w:val="00B64294"/>
    <w:rsid w:val="00B70681"/>
    <w:rsid w:val="00B719E9"/>
    <w:rsid w:val="00B73E16"/>
    <w:rsid w:val="00B77D5F"/>
    <w:rsid w:val="00B8031F"/>
    <w:rsid w:val="00B80422"/>
    <w:rsid w:val="00B855A9"/>
    <w:rsid w:val="00B865A4"/>
    <w:rsid w:val="00B87F3D"/>
    <w:rsid w:val="00BA56BF"/>
    <w:rsid w:val="00BA629F"/>
    <w:rsid w:val="00BB5652"/>
    <w:rsid w:val="00BC0C57"/>
    <w:rsid w:val="00BC1214"/>
    <w:rsid w:val="00BC27E1"/>
    <w:rsid w:val="00BD63FD"/>
    <w:rsid w:val="00BE27D9"/>
    <w:rsid w:val="00BF18AC"/>
    <w:rsid w:val="00BF2708"/>
    <w:rsid w:val="00C03B7C"/>
    <w:rsid w:val="00C03C0F"/>
    <w:rsid w:val="00C03DC3"/>
    <w:rsid w:val="00C10E9B"/>
    <w:rsid w:val="00C11AA7"/>
    <w:rsid w:val="00C22429"/>
    <w:rsid w:val="00C30A31"/>
    <w:rsid w:val="00C3210D"/>
    <w:rsid w:val="00C366C8"/>
    <w:rsid w:val="00C439E7"/>
    <w:rsid w:val="00C4645E"/>
    <w:rsid w:val="00C46D58"/>
    <w:rsid w:val="00C46E20"/>
    <w:rsid w:val="00C54172"/>
    <w:rsid w:val="00C70270"/>
    <w:rsid w:val="00C76B08"/>
    <w:rsid w:val="00C83ECD"/>
    <w:rsid w:val="00C83F3A"/>
    <w:rsid w:val="00C87D04"/>
    <w:rsid w:val="00C90379"/>
    <w:rsid w:val="00C93036"/>
    <w:rsid w:val="00CA6763"/>
    <w:rsid w:val="00CA776E"/>
    <w:rsid w:val="00CC41E2"/>
    <w:rsid w:val="00CC515E"/>
    <w:rsid w:val="00CC7246"/>
    <w:rsid w:val="00CD6701"/>
    <w:rsid w:val="00CE1DAD"/>
    <w:rsid w:val="00CE60C3"/>
    <w:rsid w:val="00CF32A7"/>
    <w:rsid w:val="00CF4C55"/>
    <w:rsid w:val="00D011BA"/>
    <w:rsid w:val="00D03392"/>
    <w:rsid w:val="00D07223"/>
    <w:rsid w:val="00D12537"/>
    <w:rsid w:val="00D1588C"/>
    <w:rsid w:val="00D15D8F"/>
    <w:rsid w:val="00D16285"/>
    <w:rsid w:val="00D174A5"/>
    <w:rsid w:val="00D23856"/>
    <w:rsid w:val="00D242CC"/>
    <w:rsid w:val="00D27211"/>
    <w:rsid w:val="00D34ABA"/>
    <w:rsid w:val="00D40F71"/>
    <w:rsid w:val="00D46A4B"/>
    <w:rsid w:val="00D5121D"/>
    <w:rsid w:val="00D528D2"/>
    <w:rsid w:val="00D55B17"/>
    <w:rsid w:val="00D611CD"/>
    <w:rsid w:val="00D625F4"/>
    <w:rsid w:val="00D719EC"/>
    <w:rsid w:val="00D7679C"/>
    <w:rsid w:val="00D9560E"/>
    <w:rsid w:val="00DA4BD3"/>
    <w:rsid w:val="00DC01BD"/>
    <w:rsid w:val="00DC2732"/>
    <w:rsid w:val="00DD573A"/>
    <w:rsid w:val="00DD618A"/>
    <w:rsid w:val="00DE4045"/>
    <w:rsid w:val="00DF0A87"/>
    <w:rsid w:val="00DF20B7"/>
    <w:rsid w:val="00E031DD"/>
    <w:rsid w:val="00E04B1D"/>
    <w:rsid w:val="00E10092"/>
    <w:rsid w:val="00E10A1D"/>
    <w:rsid w:val="00E11E73"/>
    <w:rsid w:val="00E21408"/>
    <w:rsid w:val="00E21BC2"/>
    <w:rsid w:val="00E24234"/>
    <w:rsid w:val="00E42189"/>
    <w:rsid w:val="00E43BDD"/>
    <w:rsid w:val="00E501B2"/>
    <w:rsid w:val="00E573A1"/>
    <w:rsid w:val="00E6015C"/>
    <w:rsid w:val="00E607A5"/>
    <w:rsid w:val="00E64C00"/>
    <w:rsid w:val="00E728CF"/>
    <w:rsid w:val="00E73647"/>
    <w:rsid w:val="00E81C85"/>
    <w:rsid w:val="00E82692"/>
    <w:rsid w:val="00E832DF"/>
    <w:rsid w:val="00E837AD"/>
    <w:rsid w:val="00E838C4"/>
    <w:rsid w:val="00E84E5D"/>
    <w:rsid w:val="00E9081F"/>
    <w:rsid w:val="00E9245B"/>
    <w:rsid w:val="00E944CC"/>
    <w:rsid w:val="00E9539F"/>
    <w:rsid w:val="00EA5D99"/>
    <w:rsid w:val="00EB0CB7"/>
    <w:rsid w:val="00EB3B29"/>
    <w:rsid w:val="00EC069B"/>
    <w:rsid w:val="00EC325A"/>
    <w:rsid w:val="00EC3A7F"/>
    <w:rsid w:val="00EC7D29"/>
    <w:rsid w:val="00ED3ED4"/>
    <w:rsid w:val="00ED3EF5"/>
    <w:rsid w:val="00ED6F45"/>
    <w:rsid w:val="00EF52CD"/>
    <w:rsid w:val="00EF6CA1"/>
    <w:rsid w:val="00F137BE"/>
    <w:rsid w:val="00F13A97"/>
    <w:rsid w:val="00F15798"/>
    <w:rsid w:val="00F15E25"/>
    <w:rsid w:val="00F2656C"/>
    <w:rsid w:val="00F309E3"/>
    <w:rsid w:val="00F31BA7"/>
    <w:rsid w:val="00F41AB1"/>
    <w:rsid w:val="00F41F56"/>
    <w:rsid w:val="00F45BC6"/>
    <w:rsid w:val="00F53E09"/>
    <w:rsid w:val="00F6165E"/>
    <w:rsid w:val="00F63533"/>
    <w:rsid w:val="00F641C2"/>
    <w:rsid w:val="00F672B6"/>
    <w:rsid w:val="00F67E97"/>
    <w:rsid w:val="00F753E8"/>
    <w:rsid w:val="00F7667C"/>
    <w:rsid w:val="00F87A5E"/>
    <w:rsid w:val="00F964C8"/>
    <w:rsid w:val="00FA0B1C"/>
    <w:rsid w:val="00FA1838"/>
    <w:rsid w:val="00FB01AF"/>
    <w:rsid w:val="00FB472A"/>
    <w:rsid w:val="00FB4C2D"/>
    <w:rsid w:val="00FB4E65"/>
    <w:rsid w:val="00FC0F27"/>
    <w:rsid w:val="00FC4C15"/>
    <w:rsid w:val="00FC7E62"/>
    <w:rsid w:val="00FD17DB"/>
    <w:rsid w:val="00FD19FD"/>
    <w:rsid w:val="00FD46BF"/>
    <w:rsid w:val="00FD539A"/>
    <w:rsid w:val="00FD5738"/>
    <w:rsid w:val="00FD5C76"/>
    <w:rsid w:val="00FE0488"/>
    <w:rsid w:val="00FE1988"/>
    <w:rsid w:val="00FE2D7E"/>
    <w:rsid w:val="00FE45A4"/>
    <w:rsid w:val="00FE79B0"/>
    <w:rsid w:val="00FF1D31"/>
    <w:rsid w:val="030940FE"/>
    <w:rsid w:val="04171176"/>
    <w:rsid w:val="0C1E4F0E"/>
    <w:rsid w:val="0EC92C35"/>
    <w:rsid w:val="138549F6"/>
    <w:rsid w:val="14122CAA"/>
    <w:rsid w:val="16EE2B2A"/>
    <w:rsid w:val="181E49EF"/>
    <w:rsid w:val="19AA0205"/>
    <w:rsid w:val="1C9B677E"/>
    <w:rsid w:val="20523808"/>
    <w:rsid w:val="21496C57"/>
    <w:rsid w:val="219B2E69"/>
    <w:rsid w:val="22994D11"/>
    <w:rsid w:val="26A61A75"/>
    <w:rsid w:val="2E381E2D"/>
    <w:rsid w:val="2FE54B53"/>
    <w:rsid w:val="3484530C"/>
    <w:rsid w:val="35BE7BCE"/>
    <w:rsid w:val="3A78529F"/>
    <w:rsid w:val="3EDF2AFA"/>
    <w:rsid w:val="3F097CD3"/>
    <w:rsid w:val="4D9F72DB"/>
    <w:rsid w:val="50C6411E"/>
    <w:rsid w:val="52547492"/>
    <w:rsid w:val="573612EF"/>
    <w:rsid w:val="595F2776"/>
    <w:rsid w:val="5BD64F47"/>
    <w:rsid w:val="5CB66A35"/>
    <w:rsid w:val="5DBA0D60"/>
    <w:rsid w:val="5E640775"/>
    <w:rsid w:val="60533EB3"/>
    <w:rsid w:val="60FD2C26"/>
    <w:rsid w:val="6C550928"/>
    <w:rsid w:val="6F31014B"/>
    <w:rsid w:val="6F3B2061"/>
    <w:rsid w:val="71685EB0"/>
    <w:rsid w:val="77176647"/>
    <w:rsid w:val="7A7A6E12"/>
    <w:rsid w:val="7BB61E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34"/>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35"/>
    <w:semiHidden/>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33"/>
    <w:unhideWhenUsed/>
    <w:qFormat/>
    <w:uiPriority w:val="0"/>
    <w:pPr>
      <w:keepNext/>
      <w:keepLines/>
      <w:spacing w:before="260" w:after="260" w:line="416" w:lineRule="auto"/>
      <w:outlineLvl w:val="2"/>
    </w:pPr>
    <w:rPr>
      <w:rFonts w:eastAsiaTheme="minorHAnsi"/>
      <w:b/>
      <w:bCs/>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text"/>
    <w:basedOn w:val="1"/>
    <w:link w:val="23"/>
    <w:semiHidden/>
    <w:unhideWhenUsed/>
    <w:qFormat/>
    <w:uiPriority w:val="99"/>
    <w:pPr>
      <w:spacing w:line="240" w:lineRule="auto"/>
    </w:pPr>
    <w:rPr>
      <w:sz w:val="20"/>
      <w:szCs w:val="20"/>
    </w:rPr>
  </w:style>
  <w:style w:type="paragraph" w:styleId="6">
    <w:name w:val="Balloon Text"/>
    <w:basedOn w:val="1"/>
    <w:link w:val="24"/>
    <w:semiHidden/>
    <w:unhideWhenUsed/>
    <w:qFormat/>
    <w:uiPriority w:val="99"/>
    <w:pPr>
      <w:spacing w:after="0" w:line="240" w:lineRule="auto"/>
    </w:pPr>
    <w:rPr>
      <w:rFonts w:ascii="Segoe UI" w:hAnsi="Segoe UI" w:cs="Segoe UI"/>
      <w:sz w:val="18"/>
      <w:szCs w:val="18"/>
    </w:rPr>
  </w:style>
  <w:style w:type="paragraph" w:styleId="7">
    <w:name w:val="footer"/>
    <w:basedOn w:val="1"/>
    <w:link w:val="21"/>
    <w:unhideWhenUsed/>
    <w:qFormat/>
    <w:uiPriority w:val="99"/>
    <w:pPr>
      <w:tabs>
        <w:tab w:val="center" w:pos="4680"/>
        <w:tab w:val="right" w:pos="9360"/>
      </w:tabs>
      <w:spacing w:after="0" w:line="240" w:lineRule="auto"/>
    </w:pPr>
  </w:style>
  <w:style w:type="paragraph" w:styleId="8">
    <w:name w:val="header"/>
    <w:basedOn w:val="1"/>
    <w:link w:val="20"/>
    <w:unhideWhenUsed/>
    <w:qFormat/>
    <w:uiPriority w:val="99"/>
    <w:pPr>
      <w:tabs>
        <w:tab w:val="center" w:pos="4680"/>
        <w:tab w:val="right" w:pos="9360"/>
      </w:tabs>
      <w:spacing w:after="0" w:line="240" w:lineRule="auto"/>
    </w:pPr>
  </w:style>
  <w:style w:type="paragraph" w:styleId="9">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10">
    <w:name w:val="annotation subject"/>
    <w:basedOn w:val="5"/>
    <w:next w:val="5"/>
    <w:link w:val="25"/>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Strong"/>
    <w:basedOn w:val="13"/>
    <w:qFormat/>
    <w:uiPriority w:val="22"/>
    <w:rPr>
      <w:b/>
      <w:bCs/>
    </w:rPr>
  </w:style>
  <w:style w:type="character" w:styleId="15">
    <w:name w:val="FollowedHyperlink"/>
    <w:basedOn w:val="13"/>
    <w:semiHidden/>
    <w:unhideWhenUsed/>
    <w:qFormat/>
    <w:uiPriority w:val="99"/>
    <w:rPr>
      <w:color w:val="954F72" w:themeColor="followedHyperlink"/>
      <w:u w:val="single"/>
      <w14:textFill>
        <w14:solidFill>
          <w14:schemeClr w14:val="folHlink"/>
        </w14:solidFill>
      </w14:textFill>
    </w:rPr>
  </w:style>
  <w:style w:type="character" w:styleId="16">
    <w:name w:val="Hyperlink"/>
    <w:basedOn w:val="13"/>
    <w:unhideWhenUsed/>
    <w:qFormat/>
    <w:uiPriority w:val="99"/>
    <w:rPr>
      <w:color w:val="5291A8"/>
      <w:u w:val="single"/>
    </w:rPr>
  </w:style>
  <w:style w:type="character" w:styleId="17">
    <w:name w:val="annotation reference"/>
    <w:basedOn w:val="13"/>
    <w:semiHidden/>
    <w:unhideWhenUsed/>
    <w:qFormat/>
    <w:uiPriority w:val="99"/>
    <w:rPr>
      <w:sz w:val="16"/>
      <w:szCs w:val="16"/>
    </w:rPr>
  </w:style>
  <w:style w:type="paragraph" w:customStyle="1" w:styleId="18">
    <w:name w:val="Intro copy"/>
    <w:qFormat/>
    <w:uiPriority w:val="0"/>
    <w:pPr>
      <w:keepNext/>
      <w:spacing w:after="120" w:line="259" w:lineRule="auto"/>
    </w:pPr>
    <w:rPr>
      <w:rFonts w:ascii="Times New Roman" w:hAnsi="Times New Roman" w:eastAsia="Times New Roman" w:cs="Times New Roman"/>
      <w:i/>
      <w:iCs/>
      <w:color w:val="333F50" w:themeColor="text2" w:themeShade="BF"/>
      <w:lang w:val="en-US" w:eastAsia="en-US" w:bidi="ar-SA"/>
    </w:rPr>
  </w:style>
  <w:style w:type="paragraph" w:styleId="19">
    <w:name w:val="List Paragraph"/>
    <w:basedOn w:val="1"/>
    <w:qFormat/>
    <w:uiPriority w:val="34"/>
    <w:pPr>
      <w:ind w:left="720"/>
      <w:contextualSpacing/>
    </w:pPr>
  </w:style>
  <w:style w:type="character" w:customStyle="1" w:styleId="20">
    <w:name w:val="页眉 字符"/>
    <w:basedOn w:val="13"/>
    <w:link w:val="8"/>
    <w:qFormat/>
    <w:uiPriority w:val="99"/>
  </w:style>
  <w:style w:type="character" w:customStyle="1" w:styleId="21">
    <w:name w:val="页脚 字符"/>
    <w:basedOn w:val="13"/>
    <w:link w:val="7"/>
    <w:qFormat/>
    <w:uiPriority w:val="99"/>
  </w:style>
  <w:style w:type="table" w:customStyle="1" w:styleId="22">
    <w:name w:val="Table Grid2"/>
    <w:basedOn w:val="11"/>
    <w:qFormat/>
    <w:uiPriority w:val="59"/>
    <w:rPr>
      <w:rFonts w:ascii="Arial" w:hAnsi="Arial" w:eastAsia="Calibri"/>
    </w:rPr>
    <w:tblPr>
      <w:tblLayout w:type="fixed"/>
      <w:tblCellMar>
        <w:left w:w="0" w:type="dxa"/>
        <w:right w:w="0" w:type="dxa"/>
      </w:tblCellMar>
    </w:tblPr>
    <w:trPr>
      <w:cantSplit/>
    </w:trPr>
  </w:style>
  <w:style w:type="character" w:customStyle="1" w:styleId="23">
    <w:name w:val="批注文字 字符"/>
    <w:basedOn w:val="13"/>
    <w:link w:val="5"/>
    <w:semiHidden/>
    <w:qFormat/>
    <w:uiPriority w:val="99"/>
    <w:rPr>
      <w:sz w:val="20"/>
      <w:szCs w:val="20"/>
    </w:rPr>
  </w:style>
  <w:style w:type="character" w:customStyle="1" w:styleId="24">
    <w:name w:val="批注框文本 字符"/>
    <w:basedOn w:val="13"/>
    <w:link w:val="6"/>
    <w:semiHidden/>
    <w:qFormat/>
    <w:uiPriority w:val="99"/>
    <w:rPr>
      <w:rFonts w:ascii="Segoe UI" w:hAnsi="Segoe UI" w:cs="Segoe UI"/>
      <w:sz w:val="18"/>
      <w:szCs w:val="18"/>
    </w:rPr>
  </w:style>
  <w:style w:type="character" w:customStyle="1" w:styleId="25">
    <w:name w:val="批注主题 字符"/>
    <w:basedOn w:val="23"/>
    <w:link w:val="10"/>
    <w:semiHidden/>
    <w:qFormat/>
    <w:uiPriority w:val="99"/>
    <w:rPr>
      <w:b/>
      <w:bCs/>
      <w:sz w:val="20"/>
      <w:szCs w:val="20"/>
    </w:rPr>
  </w:style>
  <w:style w:type="paragraph" w:customStyle="1" w:styleId="26">
    <w:name w:val="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27">
    <w:name w:val="normaltextrun"/>
    <w:basedOn w:val="13"/>
    <w:qFormat/>
    <w:uiPriority w:val="0"/>
  </w:style>
  <w:style w:type="character" w:customStyle="1" w:styleId="28">
    <w:name w:val="eop"/>
    <w:basedOn w:val="13"/>
    <w:qFormat/>
    <w:uiPriority w:val="0"/>
  </w:style>
  <w:style w:type="character" w:customStyle="1" w:styleId="29">
    <w:name w:val="advancedproofingissue"/>
    <w:basedOn w:val="13"/>
    <w:qFormat/>
    <w:uiPriority w:val="0"/>
  </w:style>
  <w:style w:type="character" w:customStyle="1" w:styleId="30">
    <w:name w:val="scxw122036501"/>
    <w:basedOn w:val="13"/>
    <w:qFormat/>
    <w:uiPriority w:val="0"/>
  </w:style>
  <w:style w:type="character" w:customStyle="1" w:styleId="31">
    <w:name w:val="Unresolved Mention1"/>
    <w:basedOn w:val="13"/>
    <w:semiHidden/>
    <w:unhideWhenUsed/>
    <w:qFormat/>
    <w:uiPriority w:val="99"/>
    <w:rPr>
      <w:color w:val="605E5C"/>
      <w:shd w:val="clear" w:color="auto" w:fill="E1DFDD"/>
    </w:rPr>
  </w:style>
  <w:style w:type="character" w:customStyle="1" w:styleId="32">
    <w:name w:val="link1"/>
    <w:basedOn w:val="13"/>
    <w:qFormat/>
    <w:uiPriority w:val="0"/>
    <w:rPr>
      <w:rFonts w:hint="default" w:ascii="Arial" w:hAnsi="Arial" w:cs="Arial"/>
      <w:color w:val="004985"/>
      <w:sz w:val="18"/>
      <w:szCs w:val="18"/>
      <w:u w:val="none"/>
    </w:rPr>
  </w:style>
  <w:style w:type="character" w:customStyle="1" w:styleId="33">
    <w:name w:val="标题 3 字符"/>
    <w:basedOn w:val="13"/>
    <w:link w:val="4"/>
    <w:qFormat/>
    <w:uiPriority w:val="0"/>
    <w:rPr>
      <w:rFonts w:asciiTheme="minorHAnsi" w:hAnsiTheme="minorHAnsi" w:eastAsiaTheme="minorHAnsi" w:cstheme="minorBidi"/>
      <w:b/>
      <w:bCs/>
      <w:sz w:val="32"/>
      <w:szCs w:val="22"/>
      <w:lang w:eastAsia="en-US"/>
    </w:rPr>
  </w:style>
  <w:style w:type="character" w:customStyle="1" w:styleId="34">
    <w:name w:val="标题 1 字符"/>
    <w:basedOn w:val="13"/>
    <w:link w:val="2"/>
    <w:qFormat/>
    <w:uiPriority w:val="9"/>
    <w:rPr>
      <w:rFonts w:asciiTheme="majorHAnsi" w:hAnsiTheme="majorHAnsi" w:eastAsiaTheme="majorEastAsia" w:cstheme="majorBidi"/>
      <w:color w:val="2F5597" w:themeColor="accent1" w:themeShade="BF"/>
      <w:sz w:val="32"/>
      <w:szCs w:val="32"/>
      <w:lang w:eastAsia="en-US"/>
    </w:rPr>
  </w:style>
  <w:style w:type="character" w:customStyle="1" w:styleId="35">
    <w:name w:val="标题 2 字符"/>
    <w:basedOn w:val="13"/>
    <w:link w:val="3"/>
    <w:semiHidden/>
    <w:qFormat/>
    <w:uiPriority w:val="9"/>
    <w:rPr>
      <w:rFonts w:asciiTheme="majorHAnsi" w:hAnsiTheme="majorHAnsi" w:eastAsiaTheme="majorEastAsia" w:cstheme="majorBidi"/>
      <w:color w:val="2F5597" w:themeColor="accent1" w:themeShade="BF"/>
      <w:sz w:val="26"/>
      <w:szCs w:val="26"/>
      <w:lang w:eastAsia="en-US"/>
    </w:rPr>
  </w:style>
  <w:style w:type="paragraph" w:customStyle="1" w:styleId="36">
    <w:name w:val="box"/>
    <w:basedOn w:val="1"/>
    <w:qFormat/>
    <w:uiPriority w:val="0"/>
    <w:pPr>
      <w:spacing w:after="120" w:line="240" w:lineRule="auto"/>
      <w:jc w:val="both"/>
    </w:pPr>
    <w:rPr>
      <w:rFonts w:ascii="Arial" w:hAnsi="Arial" w:eastAsia="Times New Roman" w:cs="Times New Roman"/>
      <w:szCs w:val="24"/>
      <w:lang w:val="en-GB"/>
    </w:rPr>
  </w:style>
  <w:style w:type="paragraph" w:customStyle="1" w:styleId="37">
    <w:name w:val="修订1"/>
    <w:hidden/>
    <w:semiHidden/>
    <w:qFormat/>
    <w:uiPriority w:val="99"/>
    <w:rPr>
      <w:rFonts w:asciiTheme="minorHAnsi" w:hAnsiTheme="minorHAnsi" w:eastAsiaTheme="minorEastAsia" w:cstheme="minorBidi"/>
      <w:sz w:val="22"/>
      <w:szCs w:val="22"/>
      <w:lang w:val="en-US" w:eastAsia="en-US" w:bidi="ar-SA"/>
    </w:rPr>
  </w:style>
  <w:style w:type="character" w:customStyle="1" w:styleId="38">
    <w:name w:val="未处理的提及1"/>
    <w:basedOn w:val="13"/>
    <w:semiHidden/>
    <w:unhideWhenUsed/>
    <w:qFormat/>
    <w:uiPriority w:val="99"/>
    <w:rPr>
      <w:color w:val="605E5C"/>
      <w:shd w:val="clear" w:color="auto" w:fill="E1DFDD"/>
    </w:rPr>
  </w:style>
  <w:style w:type="paragraph" w:customStyle="1" w:styleId="39">
    <w:name w:val="Revision"/>
    <w:hidden/>
    <w:semiHidden/>
    <w:uiPriority w:val="99"/>
    <w:rPr>
      <w:rFonts w:asciiTheme="minorHAnsi" w:hAnsiTheme="minorHAnsi"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TemplateFieldData displayName="" displayValue="">
  <Investment_Details displayName="Investment Details" displayValue="Investment Details">
    <Agreement_Type>Project Support</Agreement_Type>
    <Authorized_External_Signer/>
    <Forecasted_Approval_Date>05/07/20</Forecasted_Approval_Date>
    <Forecasted_Approval_Date_unformatted>2020-05-07T00:00:00.0000000</Forecasted_Approval_Date_unformatted>
    <Grantee_or_Vendor>Shanghai Science and Technology Exchange Center</Grantee_or_Vendor>
    <Account_Fiscal_Year/>
    <Account_Legal_Name/>
    <Account_Tax_Status/>
    <Account_Website/>
    <Investment_Coordinator_Full_Name>Ying Wang</Investment_Coordinator_Full_Name>
    <Investment_Name>COVID-19: Co-fund with NSFC research program--Epidemology</Investment_Name>
    <Investment_Owner_Full_Name>Bo Sun</Investment_Owner_Full_Name>
    <Investment_Owner_Title>Senior Program Officer, R&amp;D Advocacy</Investment_Owner_Title>
    <INV_Subtype>Project Support</INV_Subtype>
    <Investment_End_Date>06/01/22</Investment_End_Date>
    <Investment_End_Date_unformatted>2022-06-01T00:00:00.0000000</Investment_End_Date_unformatted>
    <Investment_Start_Date>06/01/20</Investment_Start_Date>
    <Investment_Start_Date_unformatted>2020-06-01T00:00:00.0000000</Investment_Start_Date_unformatted>
    <Parent_INV_Subtype/>
    <Salesforce_Record_Type>Investment</Salesforce_Record_Type>
    <Salesforce_Investment_ID>INV-006371</Salesforce_Investment_ID>
    <Secondary_Investment_Owner>Anna DU</Secondary_Investment_Owner>
    <Secondary_Investment_Owner_Title>Senior Program Officer, Health, Innovation and Partnerships</Secondary_Investment_Owner_Title>
    <INV_Type_WF_field_only>Grant</INV_Type_WF_field_only>
    <INV_ID_WF_field_only>INV-006371</INV_ID_WF_field_only>
  </Investment_Details>
  <Amendment_Details displayName="Amendment Details" displayValue="Amendment Details">
    <Amendment_ID>AMD--0</Amendment_ID>
    <Amendment_Overview_and_Rationale/>
    <AMD_Geography_Served_Container displayName="AMD Geography Served" displayValue="AMD Geography Served">
      <AMD_Geography_Served_Id>a2j1R0000013CAmQAM</AMD_Geography_Served_Id>
      <AMD_Geography_Served displayName="" displayValue="">
        <AMD_Location_Path>World</AMD_Location_Path>
        <AMD_Location_Name>World</AMD_Location_Name>
        <AMD_Geo_Amount>450,000.00</AMD_Geo_Amount>
        <AMD_Geo_Change>450,000.00</AMD_Geo_Change>
      </AMD_Geography_Served>
      <AMD_Geography_Served displayName="" displayValue="">
        <AMD_Location_Path>World\ASIA\FAR EAST ASIA\China</AMD_Location_Path>
        <AMD_Location_Name>China</AMD_Location_Name>
        <AMD_Geo_Amount>450,000.00</AMD_Geo_Amount>
        <AMD_Geo_Change>450,000.00</AMD_Geo_Change>
      </AMD_Geography_Served>
    </AMD_Geography_Served_Container>
    <AMD_Location_of_Work_Container displayName="AMD Location of Work" displayValue="AMD Location of Work">
      <AMD_Location_of_Work_Id>a2j1R0000013CAmQAM</AMD_Location_of_Work_Id>
      <AMD_Location_of_Work displayName="" displayValue="">
        <AMD_LOW_Path>World\ASIA\FAR EAST ASIA\China</AMD_LOW_Path>
        <AMD_LOW_Name>China</AMD_LOW_Name>
        <AMD_LOW_Amount>$900,000.00</AMD_LOW_Amount>
        <AMD_LOW_Change>$900,000.00</AMD_LOW_Change>
      </AMD_Location_of_Work>
    </AMD_Location_of_Work_Container>
  </Amendment_Details>
  <Internal_Record_Fields_Grants_and_Contracts displayName="Internal Record Fields Grants and Contracts" displayValue="Internal Record Fields Grants and Contracts">
    <Analysis_and_Recommendation/>
    <Approvers_Container displayName="Approvers" displayValue="Approvers">
      <Approvers_Id>a2j1R0000013CAmQAM</Approvers_Id>
    </Approvers_Container>
    <Estimated_Location_of_Work_Container displayName="Estimated Location of Work" displayValue="Estimated Location of Work">
      <Estimated_Location_of_Work_Id>a2j1R0000013CAmQAM</Estimated_Location_of_Work_Id>
      <Estimated_Location_of_Work displayName="" displayValue="">
        <Location_Path>World\ASIA\FAR EAST ASIA\China</Location_Path>
        <Location_Name>China</Location_Name>
        <Allocation_USD>900,000.00</Allocation_USD>
        <Allocation_Percent>100.00</Allocation_Percent>
      </Estimated_Location_of_Work>
    </Estimated_Location_of_Work_Container>
    <External_Contacts_Container displayName="External Contacts" displayValue="External Contacts">
      <External_Contacts_Id>a2j1R0000013CAmQAM</External_Contacts_Id>
    </External_Contacts_Container>
    <Geography_Served_Container displayName="Geography Served" displayValue="Geography Served">
      <Geography_Served_Id>a2j1R0000013CAmQAM</Geography_Served_Id>
      <Geography_Served displayName="" displayValue="">
        <Geography_Served_Location_Path>World</Geography_Served_Location_Path>
        <Geography_Served_Location_Name>World</Geography_Served_Location_Name>
        <Allocation_USD>450,000.00</Allocation_USD>
        <Allocation_Percent>50.00</Allocation_Percent>
      </Geography_Served>
      <Geography_Served displayName="" displayValue="">
        <Geography_Served_Location_Path>World\ASIA\FAR EAST ASIA\China</Geography_Served_Location_Path>
        <Geography_Served_Location_Name>China</Geography_Served_Location_Name>
        <Allocation_USD>450,000.00</Allocation_USD>
        <Allocation_Percent>50.00</Allocation_Percent>
      </Geography_Served>
    </Geography_Served_Container>
    <Investment_Amount>900,000.00</Investment_Amount>
    <Investment_Amount_unformatted>900000.00</Investment_Amount_unformatted>
    <Investment_Status>In Process</Investment_Status>
    <Investment_Type>Grant</Investment_Type>
    <Managing_Team>China Policy Advocacy &amp; Government Relations</Managing_Team>
    <Investment_Topics_Container displayName="Investment Topics" displayValue="Investment Topics">
      <Investment_Topics_Id>a2j1R0000013CAmQAM</Investment_Topics_Id>
      <Investment_Topics displayName="" displayValue="">
        <Investment_Topics_Full_Path>COVID-19 Response?\Strategic Pillars\Accelerate detection and?suppression</Investment_Topics_Full_Path>
      </Investment_Topics>
      <Investment_Topics displayName="" displayValue="">
        <Investment_Topics_Full_Path>COVID-19 Response?\COVID-19 Phase 1\China engagement</Investment_Topics_Full_Path>
      </Investment_Topics>
    </Investment_Topics_Container>
    <Primary_Contact_Full_Name>Yuanyuan Zhou</Primary_Contact_Full_Name>
    <Related_Orgs_Vendors_Container displayName="Related Orgs Vendors" displayValue="Related Orgs Vendors">
      <Related_Orgs_Vendors_Id>a2j1R0000013CAmQAM</Related_Orgs_Vendors_Id>
    </Related_Orgs_Vendors_Container>
    <Reviewers_Container displayName="Reviewers" displayValue="Reviewers">
      <Reviewers_Id>a2j1R0000013CAmQAM</Reviewers_Id>
      <Reviewers displayName="" displayValue="">
        <Reviewer_Name>GCS User</Reviewer_Name>
        <Subtype>GCS Review</Subtype>
        <Reviewer_Status>Not Requested</Reviewer_Status>
        <Reviewer_Feedback/>
      </Reviewers>
    </Reviewers_Container>
    <Strategy_Container displayName="Strategy" displayValue="Strategy">
      <Strategy_Id>a2j1R0000013CAmQAM</Strategy_Id>
      <Strategy displayName="" displayValue="">
        <Strategy_Path>Global Policy and Advocacy &gt; China Office &gt; China Health &gt; China COVID-19 &gt; Combat COVID-19 for China and for the World</Strategy_Path>
        <Strategy_Allocation_Amount>900,000.00</Strategy_Allocation_Amount>
        <Strategy_Allocation_Percent>100.00</Strategy_Allocation_Percent>
      </Strategy>
    </Strategy_Container>
    <Supporting_Team/>
    <Tasks_Container displayName="Tasks" displayValue="Tasks">
      <Tasks_Id>a2j1R0000013CAmQAM</Tasks_Id>
      <Tasks displayName="" displayValue="">
        <Assigned_To>GCS User</Assigned_To>
        <Subject>Initial Org Due Diligence (SSTEC)</Subject>
        <Priority>Normal</Priority>
        <Due_Date>05/11/2020</Due_Date>
        <Due_Date_unformatted>2020-05-11T00:00:00.0000000</Due_Date_unformatted>
        <Status>Not Started</Status>
      </Tasks>
    </Tasks_Container>
  </Internal_Record_Fields_Grants_and_Contracts>
  <Internal_Grant_Fields displayName="Internal Grant Fields" displayValue="Internal Grant Fields">
    <Deliverable_and_Payments_Container displayName="Deliverable and Payments" displayValue="Deliverable and Payments">
      <Deliverable_and_Payments_Id>a2j1R0000013CAmQAM</Deliverable_and_Payments_Id>
      <Deliverable_and_Payments displayName="" displayValue="">
        <Deliverable>Countersigned Agreement</Deliverable>
        <Due_Date>06/01/2020</Due_Date>
        <Due_Date_unformatted>2020-06-01T00:00:00.0000000</Due_Date_unformatted>
        <Payment_Number>PYMT-019589</Payment_Number>
        <Payment_Date>06/01/2020</Payment_Date>
        <Payment_Date_unformatted>2020-06-01T00:00:00.0000000</Payment_Date_unformatted>
        <Payment_Amount>900,000.00</Payment_Amount>
      </Deliverable_and_Payments>
      <Deliverable_and_Payments displayName="" displayValue="">
        <Deliverable>Progress Report</Deliverable>
        <Due_Date>03/01/2021</Due_Date>
        <Due_Date_unformatted>2021-03-01T00:00:00.0000000</Due_Date_unformatted>
        <Payment_Number/>
        <Payment_Date/>
        <Payment_Date_unformatted/>
        <Payment_Amount/>
      </Deliverable_and_Payments>
    </Deliverable_and_Payments_Container>
    <Final_Report_Details_Container displayName="Final Report Details" displayValue="Final Report Details">
      <Final_Report_Details_Id>a2j1R0000013CAmQAM</Final_Report_Details_Id>
      <Final_Report_Details displayName="" displayValue="">
        <Final_Report_Name>Final Report</Final_Report_Name>
        <Final_Report_Due_Date>06/01/2022</Final_Report_Due_Date>
        <Final_Report_Due_Date_unformatted>2022-06-01T00:00:00.0000000</Final_Report_Due_Date_unformatted>
        <Final_Report_Pay_Number/>
        <Final_Report_Pay_Date/>
        <Final_Report_Pay_Date_unformatted/>
        <Final_Report_Amount/>
      </Final_Report_Details>
    </Final_Report_Details_Container>
    <Cost_Center_Container displayName="Cost Center" displayValue="Cost Center">
      <Cost_Center_Id>a2j1R0000013CAmQAM</Cost_Center_Id>
      <Cost_Center displayName="" displayValue="">
        <Cost_Center_Path>50421 China Office</Cost_Center_Path>
        <CC_Allocation_Amount>900,000.00</CC_Allocation_Amount>
        <CC_Percent>100.00</CC_Percent>
      </Cost_Center>
    </Cost_Center_Container>
  </Internal_Grant_Fields>
  <Active_INV_Payment_Details displayName="Active INV Payment Details" displayValue="Active INV Payment Details">
    <Cost_Center_Active_INV_Container displayName="Cost Center Active INV" displayValue="Cost Center Active INV">
      <Cost_Center_Active_INV_Id>a2j1R0000013CAmQAM</Cost_Center_Active_INV_Id>
    </Cost_Center_Active_INV_Container>
  </Active_INV_Payment_Details>
  <Investment_Description displayName="Investment Description" displayValue="Investment Description">
    <Project_Overview><![CDATA[<html><head><meta charset='UTF-8'></head><body><p><span style="font-size: 10pt; font-family: Arial, sans-serif;">The project is an emergency grant to leverage China?s National Natural Science Foundation?s (NSFC) investment to jointly fight against the COVID-19 in the foundation?s Wave 1 COVID-19 emergency response under the CCO?s core budget. NSFC has provided 1 million USD co-funding to the Chinese grantees of this grant. This grant is the first BMGF-NSFC joint project since Bill renewed the BMGF-NSFC MOU in Nov 2019, aiming to engage China in GH and to leverage more resources from Chinese government funding agencies. The five projects were recommended by NSFC during the COVID-19 outbreak with a nationwide solicitation and selection. Based on this project, CCO aims to kick off more joint efforts to leverage NSFC?s investments into the BMGF prioritized research areas.</span></p><p><br></p><p><span style="font-size: 10pt; font-family: Arial, sans-serif;">The project will have 5 sub-grants to research teams at </span><b style="font-size: 10pt; font-family: Arial, sans-serif;">Chinese Academy of Medical Sciences</b><span style="font-size: 10pt; font-family: Arial, sans-serif;">, </span><b style="font-size: 10pt; font-family: Arial, sans-serif;">Nanjing Medical University</b><span style="font-size: 10pt; font-family: Arial, sans-serif;">, </span><b style="font-size: 10pt; font-family: Arial, sans-serif;">Sun Yat-sen University</b><span style="font-size: 10pt; font-family: Arial, sans-serif;">, </span><b style="font-size: 10pt; font-family: Arial, sans-serif;">Peking University</b><span style="font-size: 10pt; font-family: Arial, sans-serif;"> and </span><b style="font-size: 10pt; font-family: Arial, sans-serif;">Huashan Hospital</b><span style="font-size: 10pt; font-family: Arial, sans-serif;"> in Shanghai.?As a professional service unit for the management of science research projects of the Science and Technology Commission of Shanghai Municipality, Shanghai Science and Technology Exchange Center (SSTEC) will conduct the project by assigning them to these 5 top level COVID-19 research teams, and manage them with each research team by full time experts. The research project includes the following five COVID-19 research subjects:</span></p><p><span style="font-size: 10pt; font-family: Arial, sans-serif;">?</span></p><p><span style="font-size: 10pt; font-family: Arial, sans-serif;">1.</span><span style="font-size: 7pt;">????</span><b style="font-size: 10pt; font-family: Arial, sans-serif;">The study of potential genetic mechanism of differential susceptibility to novel coronavirus through using the Genetic Diversity Mice (Principle Investigator: QIN Chuan, Chinese Academy of Medical Sciences)?</b></p><p><span style="font-size: 10pt; font-family: Arial, sans-serif;">?</span></p><p><span style="font-size: 10pt; font-family: Arial, sans-serif;">This work will mainly focus on the COVID-19 study of potential genetic mechanism of differential susceptibility to novel coronavirus through using the Genetic Diversity Mice. Clinical data suggested that the susceptibility of patients to COVID-19 exhibited age and gender predisposition. Moreover, the patient showed different symptoms after COVID-19 infection, including respiratory symptoms, gastrointestinal symptoms, nucleic acid positive without obvious symptoms or other pathological manifestations. In order to further elucidate the genetic mechanisms responsible for such differences, the research team intends to use the Genetic Diversity Mice, which supposed to reflect population Genetic Diversity and individual differences, to explore the potential genetic mechanism of COVID-19 susceptibility difference.?</span></p><p><span style="font-size: 10pt; font-family: Arial, sans-serif;">?</span></p><p><u style="font-size: 10pt; font-family: Arial, sans-serif;">The 2-year goals include the following</u><span style="font-size: 10pt; font-family: Arial, sans-serif;">:</span></p><p><span style="font-size: 10pt; font-family: Symbol;">?</span><span style="font-size: 7pt;">??????</span><span style="font-size: 10pt; font-family: Arial, sans-serif;">Taking the advantage of mouse gene recombination, the breeding of Genetic Diversity Mouse resources which founded by multi-parental?strains will be enlarged.</span></p><p><span style="font-size: 10pt; font-family: Symbol;">?</span><span style="font-size: 7pt;">??????</span><span style="font-size: 10pt; font-family: Arial, sans-serif;">Optimal infection condition will be established, including virus preparation, virus challenges (Dose, delivery, and age).</span></p><p><span style="font-size: 10pt; font-family: Symbol;">?</span><span style="font-size: 7pt;">??????</span><span style="font-size: 10pt; font-family: Arial, sans-serif;">By comparing the phenotypic differences of different strains of mice (both gender) to 2019-nCoV infection, the phenotypic and genotypic correlation will be analyzed, and the candidate genes related to 2019-nCoV susceptibility will be obtained.?</span></p><p><span style="font-size: 10pt; font-family: Symbol;">?</span><span style="font-size: 7pt;">??????</span><span style="font-size: 10pt; font-family: Arial, sans-serif;">In vitro and in vivo experiment will be carried out to illustrate the function of potential candidate genes by knocking down or over expressing target genes.</span></p><p><span style="font-size: 10pt; font-family: Symbol;">?</span><span style="font-size: 7pt;">??????</span><span style="font-size: 10pt; font-family: Arial, sans-serif;">Through the comparative medical study of mouse and human patients, we will verify whether the potential susceptibility genes are the main reasons for the susceptibility to 2019-nCoV and phenotypic differences after infection.</span></p><p><span style="font-size: 10pt; font-family: Symbol;">?</span><span style="font-size: 7pt;">??????</span><span style="font-size: 10pt; font-family: Arial, sans-serif;">Finally, the funding will mainly be used for the breeding costs of mice breeding, P3 laboratory operation, as well as virus culture and amplification, virological detection, biochemical detection, pathological detection, immune molecular testing, RNA-sequence (if necessary) analysis, as well as labor costs.</span></p><p><span style="font-size: 10pt; font-family: Arial, sans-serif;">?</span></p><p><u style="font-size: 10pt; font-family: Arial, sans-serif;">Primary Outcomes of the research</u><span style="font-size: 10pt; font-family: Arial, sans-serif;">:</span></p><p><span style="font-size: 10pt; font-family: Symbol;">?</span><span style="font-size: 7pt;">??????</span><span style="font-size: 10pt; font-family: Arial, sans-serif;">Obtaining the candidate genes related to the susceptibility of COVID19 infection by phenotypic and genotypic correlation analysis.</span></p><p><span style="font-size: 10pt; font-family: Symbol;">?</span><span style="font-size: 7pt;">??????</span><span style="font-size: 10pt; font-family: Arial, sans-serif;">Illustrating the potential function of candidate genes by in vitro and in vivo experiment.</span></p><p><span style="font-size: 10pt; font-family: Symbol;">?</span><span style="font-size: 7pt;">??????</span><span style="font-size: 10pt; font-family: Arial, sans-serif;">Verifying the candidate genes are the main reason for COVID19 susceptibility among human patients.</span></p><p><span style="font-size: 10pt; font-family: Symbol;">?</span><span style="font-size: 7pt;">??????</span><span style="font-size: 10pt; font-family: Arial, sans-serif;">Collecting the conclusion report of the former three research outcomes.?</span></p><p><span style="font-size: 10pt; font-family: Arial, sans-serif;">?</span></p><p><u style="font-size: 10pt; font-family: Arial, sans-serif;">Project Approach</u></p><p><span style="font-size: 10pt; font-family: Symbol;">?</span><span style="font-size: 7pt;">??????</span><span style="font-size: 10pt; font-family: Arial, sans-serif;">Isolation and amplification of coronavirus 2019-nCoV by animal passage.</span></p><p><span style="font-size: 10pt; font-family: Symbol;">?</span><span style="font-size: 7pt;">??????</span><span style="font-size: 10pt; font-family: Arial, sans-serif;">Enlarging breeding of the Genetic Diversity mice.</span></p><p><span style="font-size: 10pt; font-family: Symbol;">?</span><span style="font-size: 7pt;">??????</span><span style="font-size: 10pt; font-family: Arial, sans-serif;">Pre-experiment: establishment of the optimal experimental conditions for COVID19 infection in Genetic Diversity mice.</span></p><p><span style="font-size: 10pt; font-family: Symbol;">?</span><span style="font-size: 7pt;">??????</span><span style="font-size: 10pt; font-family: Arial, sans-serif;">Phenotypic date collection of Genetic Diversity mice after COVID19 infection.</span></p><p><span style="font-size: 10pt; font-family: Symbol;">?</span><span style="font-size: 7pt;">??????</span><span style="font-size: 10pt; font-family: Arial, sans-serif;">Phenotypic and genotypic correlation analysis, and screening the potential susceptible genes.</span></p><p><span style="font-size: 10pt; font-family: Symbol;">?</span><span style="font-size: 7pt;">??????</span><span style="font-size: 10pt; font-family: Arial, sans-serif;">Verifying the gene function by over expressing or knocking down target genes.</span></p><p><span style="font-size: 10pt; font-family: Symbol;">?</span><span style="font-size: 7pt;">??????</span><span style="font-size: 10pt; font-family: Arial, sans-serif;">Comparative medicine between Genetic Diversity mice and human patients.</span></p><p><span style="font-size: 10pt; font-family: Arial, sans-serif;">?</span></p><p><u style="font-size: 10pt; font-family: Arial, sans-serif;">Potential Risk or Challenges</u></p><p><span style="font-size: 10pt; font-family: Symbol;">?</span><span style="font-size: 7pt;">??????</span><span style="font-size: 10pt; font-family: Arial, sans-serif;">Biosafety: The project has completed 30 copies of risk assessment and standard operating procedures for suspected highly pathogenic viruses causing diseases of unknown causes. There are ABSL-3 and ABSL-2 laboratories can provide the biosafety guarantee of the experiment. The IACUC application has been submitted and approved before the start of the project, approval number QC20003.</span></p><p><span style="font-size: 10pt; font-family: Symbol;">?</span><span style="font-size: 7pt;">??????</span><span style="font-size: 10pt; font-family: Arial, sans-serif;">Species difference: COVID19 may not lead to infection in wild type mice. In order to solve this problem, mouse-adaptive COVID 19 virus strain already developed in our institute which could be infected in wild type mice. Moreover, we also developed the hACE2 mice which carried with human ACE2 gene that supposed to be the virus receptor. By crossing with hACE2 mice with the Genetic Diversity mice, we will obtain the hybrid of F1 with hACE2 gene so that they will be infected with COVID 19 virus.</span></p><p><span style="font-size: 10pt; font-family: Arial, sans-serif;">?</span></p><p><u style="font-size: 10pt; font-family: Arial, sans-serif;">Capacity of CAMS</u><span style="font-size: 10pt; font-family: Arial, sans-serif;">:</span></p><p><span style="font-size: 10pt; font-family: Symbol;">?</span><span style="font-size: 7pt;">??????</span><span style="font-size: 10pt; font-family: Arial, sans-serif;">The Institute of Laboratory Animal of Science (ILAS) at Chinese Academy of Medical Sciences was established in 1980. Its superior unit is the CAMS and Peking Union Medical College (PUMC). After years of development, ILAS has become the largest national laboratory animal research institute in the health system, and the largest comprehensive research institution in China focusing on the research of animal models of human diseases, which provides strong resources and technical support for the smooth implementation of the project.</span></p><p><span style="font-size: 10pt; font-family: Symbol;">?</span><span style="font-size: 7pt;">??????</span><span style="font-size: 10pt; font-family: Arial, sans-serif;">In terms of the research team, the infectious disease research team has rich experience and solid work foundation in the establishment of infectious animal models, and has played an important role at the critical juncture of national infectious disease prevention and control, such as the fight against Influenza in 2003, SARS in 2009 and H7N9 in 2013. Through undertaking the national research projects, as well as the projects cooperated domestically and internationally, out team have developed professional skills and excellent quality in the field of infectious disease research.</span></p><p><span style="font-size: 10pt; font-family: Symbol;">?</span><span style="font-size: 7pt;">??????</span><span style="font-size: 10pt; font-family: Arial, sans-serif;">In terms of hardware and equipment, ILAS has a Biosafety level III Animal Laboratory (ABSL-3) for high-risk pathogen research, in which highly pathogenic influenza virus culture and animal infection experiments can be carried out to ensure biosafety.</span></p><p><span style="font-size: 10pt; font-family: Symbol;">?</span><span style="font-size: 7pt;">??????</span><span style="font-size: 10pt; font-family: Arial, sans-serif;">In terms of mice resources, the Genetic Diversity mouse resources needed in this study were provided by ILAS. The phenotypic analysis of Genetic Diversity mice was carried out by the infectious disease team. The genetic analysis of Genetic Diversity mice was completed with the application of the Geneminer analysis platform established by our institute. The gene knockout of CRISPR-Cas9 technology involved in this study is completed by the genetic center of our institute. The immune molecular mechanism of candidate genes is studied in our immune research group and the molecular laboratory of infectious disease team.</span></p><p><span style="font-size: 10pt; font-family: Arial, sans-serif;">?</span></p><p><span style="font-size: 10pt; font-family: Arial, sans-serif;">2.</span><span style="font-size: 7pt;">????</span><b style="font-size: 10pt; font-family: Arial, sans-serif;">Big-data driven stochastic transmission dynamic modeling for COVID-19 pandemic in China and the globe (Nanjing Medical University)??</b></p><p><span style="font-size: 10pt; font-family: Arial, sans-serif;">?</span></p><p><span style="font-size: 10pt; font-family: Arial, sans-serif;">The budget will be mainly used to cover the costs for application development, system maintenance, research team wages, and students research assistance subsidies. Considering the flexibility of this funding, the investment will significantly boost the quality of the universe simulation system and user interactive experience.?</span></p><p><br></p><p><u style="font-size: 10pt; font-family: Arial, sans-serif;">Primary Outcome</u><span style="font-size: 10pt; font-family: Arial, sans-serif;">:</span></p><p><span style="font-size: 10pt; font-family: Symbol;">?</span><span style="font-size: 7pt;">??????</span><span style="font-size: 10pt; font-family: Arial, sans-serif;">Establishing a more sophisticated stochastic dynamics model building strategy, parameter estimation methods and algorithm?implementation software.</span></p><p><span style="font-size: 10pt; font-family: Symbol;">?</span><span style="font-size: 7pt;">??????</span><span style="font-size: 10pt; font-family: Arial, sans-serif;">Establishment of a real-world simulation system for predicting epidemic trends in infectious diseases.</span></p><p><span style="font-size: 10pt; font-family: Symbol;">?</span><span style="font-size: 7pt;">??????</span><span style="font-size: 10pt; font-family: Arial, sans-serif;">Publishing four high impact methodological and applied research papers.</span></p><p><span style="font-size: 10pt; font-family: Symbol;">?</span><span style="font-size: 7pt;">??????</span><span style="font-size: 10pt; font-family: Arial, sans-serif;">Collecting the conclusion report of the former three research outcomes.</span></p><p><span style="font-size: 10pt; font-family: Arial, sans-serif;">?</span></p><p><u style="font-size: 10pt; font-family: Arial, sans-serif;">Project approach</u><span style="font-size: 10pt; font-family: Arial, sans-serif;">:</span></p><p><span style="font-size: 10pt; font-family: Arial, sans-serif;">This study intends to adopt the research ideas of mathematical theory derivation, statistical simulation, case study and software tool research:</span></p><p><span style="font-size: 10pt; font-family: Symbol;">?</span><span style="font-size: 7pt;">??????</span><span style="font-size: 10pt; font-family: Arial, sans-serif;">Mathematical theory derivation. The proposed stochastic dynamics model is explored from the perspective of stochastic differential equation theory, which has both mathematical certainty and statistical uncertainty and is more suitable for the construction of dynamics model of infectious diseases.</span></p><p><span style="font-size: 10pt; font-family: Symbol;">?</span><span style="font-size: 7pt;">??????</span><span style="font-size: 10pt; font-family: Arial, sans-serif;">Simulation study. Conduct a large number of statistical simulations based on our high-performance computer clusters and workstations to?compare the fit of different models under different hypothetical situations, and then select appropriate models to provide modeling strategies and ideas for practical applications.</span></p><p><span style="font-size: 10pt; font-family: Symbol;">?</span><span style="font-size: 7pt;">??????</span><span style="font-size: 10pt; font-family: Arial, sans-serif;">System construction. Building trajectories and networks of population flow within and across regions is key to cross-regional disease epidemiological trend analysis and outbreak study and evaluation. Based on the population of each region, traffic data of different regions and different periods, and the information of the population flow trajectories obtained from cell phone base station, so as to construct the corresponding network and develop a JAVA-based software simulation system.</span></p><p><span style="font-size: 10pt; font-family: Arial, sans-serif;">?</span></p><p><u style="font-size: 10pt; font-family: Arial, sans-serif;">Potential Risk or Challenges</u></p><p><span style="font-size: 10pt; font-family: Arial, sans-serif;">There are many challenges in studying complex dynamics models, mainly in the following points.</span></p><p><span style="font-size: 10pt; font-family: Symbol;">?</span><span style="font-size: 7pt;">??????</span><span style="font-size: 10pt; font-family: Arial, sans-serif;">Trends in stochastic parameters are important for modelling effects, but how to determine them is inconclusive.</span></p><p><span style="font-size: 10pt; font-family: Symbol;">?</span><span style="font-size: 7pt;">??????</span><span style="font-size: 10pt; font-family: Arial, sans-serif;">Computational technique similar to Bayes requires the definition of a priori distributions of parameters, but it is extremely challenging in the early stage of the epidemic of new infectious diseases while the data accumulation is not large.</span></p><p><span style="font-size: 10pt; font-family: Symbol;">?</span><span style="font-size: 7pt;">??????</span><span style="font-size: 10pt; font-family: Arial, sans-serif;">Existing models rarely use other information to participate in forecasting, and the effective use of relevant information to improve the accuracy of forecasting is also worthy of further study.</span></p><p><span style="font-size: 10pt; font-family: Arial, sans-serif;">?</span></p><p><u style="font-size: 10pt; font-family: Arial, sans-serif;">Capacity of Nanjing Medical University?</u></p><p><span style="font-size: 10pt; font-family: Arial, sans-serif;">Public Health and Preventive Medicine Department of Nanjing Medical University, to which the research group belongs, is certificated as the National A+ Discipline, the first-class doctoral degree discipline and center for post-doctoral studies. Feng Chen, the applicant&#39;s project leader, and Yong yue Wei, a member of the project team, are honored to participate in the national epidemic analysis in Beijing as the Chinese Society of Preventive Medicine Expert Group on Prevention and Control of Novel Coronavirus Infections in Pneumonia. Team members have backgrounds and professional skills in different disciplines such as mathematics, statistics, epidemiology, medicine, etc., with solid theoretical foundations, active thinking, cross-fertilization of expertise, long-term cooperation, fruitful results and the ability to independently design and develop software systems. They all have rich experience in infectious disease data analysis, large medical cohort study data analysis, big data (-omics) data analysis, and have a more in-depth understanding and research on modeling techniques, computer simulation and other analytical techniques related to this topic, is Jiangsu Province biomedical big data innovation team.</span></p><p><span style="font-size: 10pt; font-family: Arial, sans-serif;">?</span></p><p><span style="font-size: 10pt; font-family: Arial, sans-serif;">3.</span><span style="font-size: 7pt;">????</span><b style="font-size: 10pt; font-family: Arial, sans-serif;">The effects of population migration and intervention on spatiotemporal spread of COVID-19 within Hubei Province and across provinces in China (Sun Yat-sen University)</b></p><p><span style="font-size: 10pt; font-family: Arial, sans-serif;">?</span></p><p><u style="font-size: 10pt; font-family: Arial, sans-serif;">Primary Outcomes</u><span style="font-size: 10pt; font-family: Arial, sans-serif;">:</span></p><p><span style="font-size: 10pt; font-family: Arial, sans-serif;">The main results of this study are to determine the driving role of population migration in the spatial and temporal spread of COVID-19 epidemic, and the effects and influencing factors of intervention measures to control the spread of COVID-19 epidemic through shutdown and traffic restriction. The specific aspects are as follows:?</span></p><p><span style="font-size: 10pt; font-family: Symbol;">?</span><span style="font-size: 7pt;">??????</span><span style="font-size: 10pt; font-family: Arial, sans-serif;">To analyze and elucidate the effects and mechanisms of population migration and implemented interventions on the transmission of?COVID-19 in Hubei Province through the dynamics model of infectious disease transmission.</span></p><p><span style="font-size: 10pt; font-family: Symbol;">?</span><span style="font-size: 7pt;">??????</span><span style="font-size: 10pt; font-family: Arial, sans-serif;">To investigate the effects and mechanisms of population movement and migration and implemented interventions on the inter-provincial spread of COVID-19 at the national level through the dynamics model of infectious disease transmission.</span></p><p><span style="font-size: 10pt; font-family: Symbol;">?</span><span style="font-size: 7pt;">??????</span><span style="font-size: 10pt; font-family: Arial, sans-serif;">To determine the effects of demographic, social and environmental factors on population flows and the effects of implemented interventions at different spatial and temporal scales.</span></p><p><span style="font-size: 10pt; font-family: Symbol;">?</span><span style="font-size: 7pt;">??????</span><span style="font-size: 10pt; font-family: Arial, sans-serif;">To collect the conclusion report of the former three research outcomes.</span></p><p><span style="font-size: 10pt; font-family: Arial, sans-serif;">?</span></p><p><u style="font-size: 10pt; font-family: Arial, sans-serif;">Project approach</u><span style="font-size: 10pt; font-family: Arial, sans-serif;">:</span></p><p><span style="font-size: 10pt; font-family: Arial, sans-serif;">Sun Yat-sen University proposed this study based on a big data analysis approach combining with an infectious disease dynamics model that takes into account the infectivity during the incubation period and different transmission routes of COVID-19. 1) By using the Markov Chain Monte Carlo (MCMC), the daily number of patients in each city is fitted to obtain the basic reproduction number R0 in different cities. Then we use the numerical analysis and sensitivity analysis to adjust different population mobility parameters. We calculate the weight of the impact of the floating population on the basic reproduction number and the scale of infection, and quantitatively assess the driving effect of population migration on the spatial and temporal spread of the epidemic. 2) In order to clarify the effect of the current &quot;lockdown of the cities&quot; and traffic control to cut off population migration to control the spatiotemporal spread of the COVID-19 epidemic in Hubei Province, we establish prevention and control interventions dynamic model combined with latent period and potential transmission routes. Based on the SEIR modeling analysis of the spatiotemporal diffusion path of COVID-19 in Hubei Province, we further assess the potential transmission risk among Hubei Province, and clarify the role and effect of traffic restriction in the prevention and control of epidemic spread. 3)According to the results of the first and second part of the above research, the traffic intervention effects of each county and city are divided into different levels. Then use multi-level logistic regression model analysis to explore the impact of population-social-economic factors on the traffic intervention of the COVID-19 epidemic.</span></p><p><span style="font-size: 10pt; font-family: Arial, sans-serif;">?</span></p><p><u style="font-size: 10pt; font-family: Arial, sans-serif;">Potential Challenges</u><span style="font-size: 10pt; font-family: Arial, sans-serif;">:</span></p><p><span style="font-size: 10pt; font-family: Arial, sans-serif;">Based on our preliminary analysis results and the characteristics of the COVID-19 outbreak, this study faces the following two potential challenges:?</span></p><p><span style="font-size: 10pt; font-family: Symbol;">?</span><span style="font-size: 7pt;">??????</span><span style="font-size: 10pt; font-family: Arial, sans-serif;">Due to the uncertainty and the large scale of population migration during Spring Festival, the exact population migration data is not?available.?</span></p><p><span style="font-size: 10pt; font-family: Symbol;">?</span><span style="font-size: 7pt;">??????</span><span style="font-size: 10pt; font-family: Arial, sans-serif;">At the early stage of the epidemic outbreak, most of the details of information (such as epidemiologic characteristic, biochemical test) are not available in some patients.</span></p><p><span style="font-size: 10pt; font-family: Arial, sans-serif;">?</span></p><p><u style="font-size: 10pt; font-family: Arial, sans-serif;">Capacity of Sun Yat-sen University</u></p><p><span style="font-size: 10pt; font-family: Arial, sans-serif;">Sun Yat-sen University is the main responsible institution of this project. It is a leading advanced university in China with sufficient project management and can ensure smooth progress of the project.</span></p><p><span style="font-size: 10pt; font-family: Arial, sans-serif;">Rich experience on dynamic modeling of infectious diseases. The research team led of Dr. Hualiang Lin specializes in epidemiology of infectious diseases, and has substantial experience in climate change and infectious diseases, and related disease surveillance, risk assessment and early warning. We have been engaged in the research on the ecology and control methods of infectious disease vectors and hosts for a long time, especially on the dynamic modeling analysis of infectious diseases.?</span></p><p><span style="font-size: 10pt; font-family: Arial, sans-serif;">International cooperation: The team of this project has established close international and national cooperation with many academic institutions and experts for a long time. Cooperated institutions include: Saint Louis University, Hong Kong University, Chinese Center for Disease Control and Prevention, and The Chinese University of Hong Kong and so on.</span></p><p><span style="font-size: 10pt; font-family: Arial, sans-serif;">Rich experience on project management: The leader of this project has rich experience on project management. Recent five years, the leader of this project has several projects supported by Youth program of NSFC and NSFC.</span></p><p><span style="font-size: 10pt; font-family: Arial, sans-serif;">?</span></p><p><span style="font-size: 10pt; font-family: Arial, sans-serif;">4.</span><span style="font-size: 7pt;">????</span><b style="font-size: 10pt; font-family: Arial, sans-serif;">A study on the outbreak and pattern of development of COVID-19, based on new mathematical and statistical models (Peking University)</b></p><p><span style="font-size: 10pt; font-family: Arial, sans-serif;">?</span></p><p><u style="font-size: 10pt; font-family: Arial, sans-serif;">Primary Outcomes</u><span style="font-size: 10pt; font-family: Arial, sans-serif;">:</span></p><p><span style="font-size: 10pt; font-family: Symbol;">?</span><span style="font-size: 7pt;">??????</span><span style="font-size: 10pt; font-family: Arial, sans-serif;">On the basis of multi-source data fusion, a general mathematical model of virus transmission process and corresponding statistical analysis methods are established to analyze the population susceptibility and mechanism of the novel virus.?</span></p><p><span style="font-size: 10pt; font-family: Symbol;">?</span><span style="font-size: 7pt;">??????</span><span style="font-size: 10pt; font-family: Arial, sans-serif;">Combining the clinical characteristics of COVID-19, the methods of analysis and prediction of the epidemic in key areas are proposed.</span></p><p><span style="font-size: 10pt; font-family: Symbol;">?</span><span style="font-size: 7pt;">??????</span><span style="font-size: 10pt; font-family: Arial, sans-serif;">Based on causal inference framework, the methods of adaptively evaluating the intervention measures under a dynamic environment are proposed.</span></p><p><span style="font-size: 10pt; font-family: Symbol;">?</span><span style="font-size: 7pt;">??????</span><span style="font-size: 10pt; font-family: Arial, sans-serif;">With the virus sequence data, potential super spreaders can be identified and located and hence it provides support for developing targeted prevention and control measures.</span></p><p><span style="font-size: 10pt; font-family: Symbol;">?</span><span style="font-size: 7pt;">??????</span><span style="font-size: 10pt; font-family: Arial, sans-serif;">Build advanced statistical analysis packages to substantialize the theoretical results into an easy-to-use software platform.</span></p><p><span style="font-size: 10pt; font-family: Symbol;">?</span><span style="font-size: 7pt;">??????</span><span style="font-size: 10pt; font-family: Arial, sans-serif;">Form decision recommendations for the prevention and control of COVID-19 on the basis of theoretical study.?</span></p><p><span style="font-size: 10pt; font-family: Symbol;">?</span><span style="font-size: 7pt;">??????</span><span style="font-size: 10pt; font-family: Arial, sans-serif;">Publish more than 10 research in major international and domestic academic journals and conferences.</span></p><p><span style="font-size: 10pt; font-family: Symbol;">?</span><span style="font-size: 7pt;">??????</span><span style="font-size: 10pt; font-family: Arial, sans-serif;">Collect the conclusion report of the foregoing research outcomes.</span></p><p><span style="font-size: 10pt; font-family: Arial, sans-serif;">?</span></p><p><u style="font-size: 10pt; font-family: Arial, sans-serif;">Project Approach</u><span style="font-size: 10pt; font-family: Arial, sans-serif;">:</span></p><p><span style="font-size: 10pt; font-family: Symbol;">?</span><span style="font-size: 7pt;">??????</span><span style="font-size: 10pt; font-family: Arial, sans-serif;">Part 1?Comprehensive analysis of the current status of COVID-19 outbreak</span></p><p><span style="font-size: 10pt; font-family: Arial, sans-serif;">Based on the fundamental theory of interacting particle systems, and taking into the consideration of the unique epidemiological characteristics and features of COVID-19, as well as the spatial and temporal structure of the diffusion process and the growing panic among population, this project builds a new individualized disease transmission model of COVID-19. With multi-source data such as epidemiological data, virus gene data and environmental data, this project provides comprehensive analyzed results of COVID-19.</span></p><p><span style="font-size: 10pt; font-family: Arial, sans-serif;">??</span></p><p><span style="font-size: 10pt; font-family: Symbol;">?</span><span style="font-size: 7pt;">??????</span><span style="font-size: 10pt; font-family: Arial, sans-serif;">Part 2 Evaluation of intervention measures based on causal inference model</span></p><p><span style="font-size: 10pt; font-family: Arial, sans-serif;">In the current outbreak of COVID-19 pandemic, relevant departments of local governments in China have adopted a series of prevention and control measures. These measures have significantly reduced the infection trend, especially in Wuhan. Evaluating the effectiveness of interventions (eg. traffic control, &quot;lockdown of city&quot;) provides valuable prospects for future disease prevention and control. Traditional break point regression or discontinuity time series methods for evaluation of policies compare the outcome variables of interest (eg, the number of confirmed cases) before and after the policy implementations. However, the difference in outcome variables of interest before and after may be the combined result of two aspects: intervention measures are more likely to occur in the epicenter, while at the same time, with the increase of public awareness of the epidemic, residents in the epicenter tend to protect themselves by self-quarantine, waring masking and so on, which reduce the possibility transmissions of disease. Direct comparison of the changes in the outcome variables of interest before and after the intervention measures may overestimate the actual effect of the policy.</span></p><p><span style="font-size: 10pt; font-family: Arial, sans-serif;">?</span></p><p><span style="font-size: 10pt; font-family: Arial, sans-serif;">Unobservable confounding factors raise the endogenous issue of interventions, which results in a correlated relationship between interventions and outcome variables correlated rather than causal. In order to deal with the overlap and interaction between these interventions and the confounding factors such as the characteristics of the city and the severity of the epidemic, it is necessary to adopt a statistical causal model for analysis. This project proposes statistical causal inference model to evaluate the effectiveness of various intervention policies, including inter-city traffic control measures and intra-city traffic control measures, and analyzes the interaction between city size and intervention measures. In addition, economic and social development data can be combined to conduct a more comprehensive and cost-effectiveness analysis of interventions. The results of these evaluations are of great significance to make new prevention and control measures.</span></p><p><span style="font-size: 10pt; font-family: Arial, sans-serif;">?</span></p><p><span style="font-size: 10pt; font-family: Symbol;">?</span><span style="font-size: 7pt;">??????</span><span style="font-size: 10pt; font-family: Arial, sans-serif;">Part 3 Fundamental theoretical studies on mathematical and statistical models</span></p><p><span style="font-size: 10pt; font-family: Arial, sans-serif;">Research on epidemic diffusion based on interactive particle system: This study uses relevant theories of interacting particle systems in modern probability theory and combines latest progress in the quantitative modeling of epidemiology / sociology / ecology in recent years to establishes new mathematical models and theories suitable for the characteristics of this 2019-nCov epidemic, by considering both the spatial and random nature of epidemic development and population mobility. The proposed model takes into account the change of disease status, the diffusion and flow of latent patients in space, as well as the diffusion, delay and asymmetry of disease control information, which can more accurately describe the occurrence and development process of the epidemic, and lay a solid theoretical foundation for the follow-up research contents such as epidemic analysis and intervention evaluation.</span></p><p><br></p><p><span style="font-size: 10pt; font-family: Arial, sans-serif;">Fundamental research on causal inference theory: In the causal inference model, there are unobservable confounding variables besides observable covariates. If the effects of confounding factors are ignored, the estimation of causal effects are biased. If confounding factors are unobservable, causal effects are not always identifiable. This study considers how to use the proxy variables of confounding variables to reflect the characteristics of confounding variables, and to figure out the identifiable conditions of causal effect for the situation where the proxy variables are correlated to the outcome variables of interest. For a causal inference model that satisfies the identifiability conditions, this study explores a robust estimation method for causal effects. In the case of multiple interventions, the estimation methods of treatment effects of different interventions are studied.</span></p><p><span style="font-size: 10pt; font-family: Arial, sans-serif;">?</span></p><p><span style="font-size: 10pt; font-family: Symbol;">?</span><span style="font-size: 7pt;">??????</span><span style="font-size: 10pt; font-family: Arial, sans-serif;">Part 4 Research on methods and tools for assistant of decision-making with regard to acute infectious diseases</span></p><p><span style="font-size: 10pt; font-family: Arial, sans-serif;">According to the preparation on methodology and data collection in the early stage, a system of epidemic dynamic analyses and assistant of decision-making methods for acute infectious diseases is built, and a software platform is built which can be used by research institutes, hospitals, health administrative departments and other relevant institutions. At present, there are many theoretical methods for epidemic analysis and decision-making, many of which have formed R packages. However, these software packages are generally for researchers and are not user friendly. One of the features of this project is to form decision recommendations for the prevention and control of COVID-19 on the basis of theoretical study and uses advanced statistical analysis packages to substantialize the theoretical results into an easy-to-use software platform. The software platform is open to scientific institutes and personnel that are relevant to the research of acute infectious disease epidemic situation, and provides a strong support for the prevention and control of infectious disease in the future.</span></p><p><span style="font-size: 10pt; font-family: Arial, sans-serif;">?</span></p><p><u style="font-size: 10pt; font-family: Arial, sans-serif;">Potential challenges</u><span style="font-size: 10pt; font-family: Arial, sans-serif;">:</span></p><p><span style="font-size: 10pt; font-family: Symbol;">?</span><span style="font-size: 7pt;">??????</span><span style="font-size: 10pt; font-family: Arial, sans-serif;">The comprehensive modeling of virus transmission and population migration involving randomness, spatiality and information asymmetry.</span></p><p><span style="font-size: 10pt; font-family: Symbol;">?</span><span style="font-size: 7pt;">??????</span><span style="font-size: 10pt; font-family: Arial, sans-serif;">The estimation of the infection size in the key areas combined with population migration model and dynamic model.</span></p><p><span style="font-size: 10pt; font-family: Symbol;">?</span><span style="font-size: 7pt;">??????</span><span style="font-size: 10pt; font-family: Arial, sans-serif;">Issues related to identification and estimation of causal effects in the presence of unobservable confounding.</span></p><p><span style="font-size: 10pt; font-family: Arial, sans-serif;">?</span></p><p><u style="font-size: 10pt; font-family: Arial, sans-serif;">Capacity of PKU</u><span style="font-size: 10pt; font-family: Arial, sans-serif;">:</span></p><p><span style="font-size: 10pt; font-family: Arial, sans-serif;">This project is led by Peking university, with the joint participation of the Chinese Center for Disease Control and Prevention and the National Institute for Viral Disease Control and Prevention. The research group has long been engaged in data collection, mathematical and statistical modeling, epidemiological data analysis and software development, etc., which has laid a good technical foundation for the implementation of the project.?</span></p><p><br></p><p><span style="font-size: 10pt; font-family: Arial, sans-serif;">The project leader, Peking University, has one of the best mathematical science, statistical science, data science and public health in China. Combining with the strengths of the Beijing International Mathematics Center of Peking University, the project team forms one of the strongest and most outstanding teams in the field of mathematics, statistics and public health in China.?</span></p><p><span style="font-size: 10pt; font-family: Arial, sans-serif;">The Chinese Center for Disease Control and Prevention is a public institution directly under the National Health Commission. It has undertaken National Science and Technology Major Project led by Shanghai Oriental Hepatobiliary Hospital, participated in research on the meteorological, socioeconomic and demographic risk factors of hand, foot and mouth disease, the dynamic model of the prevention and control of new respiratory infectious diseases, and public health risk prevention and its mode innovation under the background of ?One Belt and One Road?, all supported by National Natural Science Foundation of China.</span></p><p><br></p><p><span style="font-size: 10pt; font-family: Arial, sans-serif;">The National Institute for Viral Disease Control and Prevention is an independent legal entity under the China Center for Disease Control and Prevention, which undertakes the establishment and management, technical guidance and training, data analysis and research of the national virus disease surveillance network and provides scientific evidences and technical support for the government to formulate laws and regulations, regulatory standards, normative guidelines and program plans related to virus disease prevention and control. It also conducts scientific research and postgraduate education, personnel training and technical training related to viral diseases, thus providing new theories, technologies and methods for the prevention and control of viral diseases. Through international cooperation, it jointly guards against viral infectious diseases worldwide. The National Institute for Viral Disease Control and Prevention has undertaken scientific research projects on infectious diseases supported by the National High-tech R&amp;D Program of China (863 Program), the National Program on Key Basic Research Project (973 Program), the National Key Technology R&amp;D Program, the Ministry of Health of China Key Project and the State Commission of Science Technology of China funds and other programs during the Eleven Five-year Plan Period and the Twelfth Five-year Plan Period. It has received more than 130 national and ministerial awards 30 new drug certificates.</span></p><p><span style="font-size: 10pt; font-family: Arial, sans-serif;">??</span></p><p><span style="font-size: 10pt; font-family: Arial, sans-serif;">5.</span><span style="font-size: 7pt;">????</span><b style="font-size: 10pt; font-family: Arial, sans-serif;">Host correlates of COVID-19 infected patients with atypical symptoms (Huashan Hospital)</b></p><p><span style="font-size: 10pt; font-family: Arial, sans-serif;">?</span></p><p><u style="font-size: 10pt; font-family: Arial, sans-serif;">Primary Outcomes</u><span style="font-size: 10pt; font-family: Arial, sans-serif;">:</span></p><p><span style="font-size: 10pt; font-family: Arial, sans-serif;">The overall research goal of this subject is to determine the host factors associated with the SARS-COV-2 atypical-symptom infection and preliminarily analyze the mechanism. The primary outcome will be present with the following 3 key goals:</span></p><p><span style="font-size: 10pt; font-family: Symbol;">?</span><span style="font-size: 7pt;">??????</span><span style="font-size: 10pt; font-family: Arial, sans-serif;">Explain the micro-ecology, cell composition and status of microflora in the micro-environment of respiratory tract tissues of patients with atypical symptoms, and the histopathologic distribution of viruses and cells.</span></p><p><span style="font-size: 10pt; font-family: Symbol;">?</span><span style="font-size: 7pt;">??????</span><span style="font-size: 10pt; font-family: Arial, sans-serif;">Analyze the role of respiratory tract mucosa tissue and system adaptive immune response in controlling disease development in atypical-symptom infection.?</span></p><p><span style="font-size: 10pt; font-family: Symbol;">?</span><span style="font-size: 7pt;">??????</span><span style="font-size: 10pt; font-family: Arial, sans-serif;">Determine the genetic factors of SARS-COV-2 susceptibility, disease development and clinical outcome.</span></p><p><span style="font-size: 10pt; font-family: Symbol;">?</span><span style="font-size: 7pt;">??????</span><span style="font-size: 10pt; font-family: Arial, sans-serif;">Collect the conclusion report of the former three research outcomes.</span></p><p><span style="font-size: 10pt; font-family: Arial, sans-serif;">?</span></p><p><u style="font-size: 10pt; font-family: Arial, sans-serif;">Project approaches</u><span style="font-size: 10pt; font-family: Arial, sans-serif;">:</span></p><p><span style="font-size: 10pt; font-family: Arial, sans-serif;">All the experimental steps are carried out in the biosafety level II laboratory. The operators have a wealth of microbiologic operation experience. After the experiment, the items are sterilized and treated as medical and sanitary garbage.?</span></p><p><span style="font-size: 10pt; font-family: Symbol;">?</span><span style="font-size: 7pt;">??????</span><span style="font-size: 10pt; font-family: Arial, sans-serif;">Microenvironment of SARS-COV-2 infected respiratory tissue</span></p><p><span style="font-size: 10pt; font-family: Arial, sans-serif;">The subject will include 10 cases of &quot;atypical symptoms&quot; infection, 30 cases of common pneumonia, 10-20 cases of severe or critically ill patients. Pharyngeal swabs and sputum samples were taken every 2 days since the first laboratory diagnosis until the isolation is released. After that samples are taken every 2 weeks in a follow-up of 28 days. Generally, samples are taken about 10-20 times within 20-40 days in the hospital, and 2 times in 28 days outside the hospital.?</span></p><p><span style="font-size: 10pt; font-family: Arial, sans-serif;">?</span></p><p><span style="font-size: 10pt; font-family: Symbol;">?</span><span style="font-size: 7pt;">??????</span><span style="font-size: 10pt; font-family: Arial, sans-serif;">The adaptive immune response of SARS-COV-2 infection:</span></p><p><span style="font-size: 10pt; font-family: Arial, sans-serif;">We will include 10 cases of ?atypical symptoms? infected persons, 30 patients with common pneumonia, 10-20 cases of severe or critically ill patients. For pneumonia patients, serum or plasma is collected according to clinical examination requires since the first laboratory diagnosis. Remaining serum or plasma after clinical testing is recycled. PBMC is performed every 6 to 7 days to collect EDTA anticoagulated blood until discharge. For &quot;Atypical symptoms&quot; infected people, serum or plasma and PBMC were collected every 6 ~ 7 days since the first laboratory diagnosis until the isolation is released. After discharge or release of isolation, serum / plasma and PBMC is collected every 2 weeks in the following 28 days.?</span></p><p><span style="font-size: 10pt; font-family: Arial, sans-serif;">?</span></p><p><span style="font-size: 10pt; font-family: Symbol;">?</span><span style="font-size: 7pt;">??????</span><span style="font-size: 10pt; font-family: Arial, sans-serif;">Genetic factors affecting the clinical outcome of SARS-COV-2 infection:</span></p><p><span style="font-size: 10pt; font-family: Arial, sans-serif;">The genomic DNA of whole blood cells was extracted and whole genome re-sequencing was performed on the Illumina 10X sequencing platform after the library was built. The depth of sequencing of each specimen is not less than 10X. Sequencing data is filtered by quality control and high-quality clean reads are selected. Use bowtie2 to map the original file to the human reference genome (hg37 / hg38) to obtain a bam file, and confirm that the sequencing coverage depth of 90% regions is greater than 10X. Use samtools or GATK to correspond module. Perform SNV, small InDel analysis to determine the mutation site in each specimen, and make genetic annotations.</span></p><p><span style="font-size: 10pt; font-family: Arial, sans-serif;">Finally, the clinical grouping is based on disease status. Calculate the corresponding mutation site of each group through GWAS. During the GWAS analysis, individual kinship and group stratification are the main factor of false positivity. Therefore, we adopt hybrid linear model for trait association analysis, population genetic structure as a fixed effect, individual kinship as a random effect to correct the influence of individual kinship and group structure:</span></p><p><span style="font-size: 10pt; font-family: Arial, sans-serif;">?</span></p><p><u style="font-size: 10pt; font-family: Arial, sans-serif;">Potential challenges</u><span style="font-size: 10pt; font-family: Arial, sans-serif;">:</span></p><p><span style="font-size: 10pt; font-family: Arial, sans-serif;">SARS-COV-2 is a brand-new coronavirus that causes human infection. The understanding of the disease progress is at a cumulative stage. Through active epidemic prevention monitoring, we found that in addition to typical pneumonia patients and severe / critically ill patients, there are also atypical-symptom infected persons who have no typical pneumonia symptoms, and carriers of no symptoms. At present, our understanding of the clinical pathogenic mechanism of coronavirus mainly comes from research data on late critical cases of SARS-CoV and MERS-CoV. Understanding of the early events of this disease is lacking.</span></p><p><span style="font-size: 10pt; font-family: Arial, sans-serif;">?</span></p><p><u style="font-size: 10pt; font-family: Arial, sans-serif;">Capacity of Huashan Hospital</u><span style="font-size: 10pt; font-family: Arial, sans-serif;">:</span></p><p><span style="font-size: 10pt; font-family: Arial, sans-serif;">Clinical resource guarantee and mature experimental technology reserve:?</span></p><p><span style="font-size: 10pt; font-family: Arial, sans-serif;">The applicant is the head of Shanghai SARS-COV-2 medical treatment expert group, responsible for the treatment of patients in the Huashan Hospital affiliated to Fudan University and the designated admission hospital Shanghai Public Health Center. As of February 4, more than 200 cases of SARS-COV-2 infection have been diagnosed in Shanghai, including 12 cases of severe or critical illness, and more than 20 cases of &quot;atypical symptoms&quot; infection. According to Shanghai and Fudan University. In accordance with the emergency research requirements of Shanghai and Fudan University, we have collected and preserved specimens such as pharyngeal swabs, whole blood, serum, PBMC, etc. And preliminarily establish laboratory methods such as viral nucleic acid amplification and detection.</span></p><p><br></p><p><span style="font-size: 10pt; font-family: Arial, sans-serif;">The Infectious Diseases team of Fudan University and the Infectious Diseases Institute of Huashan Hospital have long been engaged in the identification of new infectious pathogens and the study of clinical pathogenic mechanisms. We led the prevention and control of Shanghai H1N1 in 2009 and H7N9 in 2013, and report human cases of H7N9 infection and human cases of swine herpes virus for the first time. We also described the role of antibody immunity and T cell immune response in the immune protection and clinical pathogenic mechanism of H1N1 and H7N9 vaccine. The project team has strong technical advantages in genomics and immunology. Equipped with second-generation sequencing, third-generation sequencing detection, bioinformatics analysis platform and systematic immunology analysis platform, we can study the clinical progression model of the new virus in two aspects, pathogen genomics and host immunology. The laboratory has established methods for cell isolation and preservation of peripheral blood specimens, multi-color flow cytometry, RNAscope in situ hybridization, and primary T cell-related in vitro functional experiment technology to provide experimental materials and technical support for the project. The project team is led by experienced professor Zhang Wenhong. The participants are mainly composed of young and middle-aged researchers. They have expertise in genomic sequencing, immunology, bioinformatics, clinical medicine and other research directions.</span></p><p><span style="font-size: 10pt; font-family: Arial, sans-serif;">?</span></p></body></html>]]></Project_Overview>
    <Public_Descrption><![CDATA[<html><head><meta charset='UTF-8'></head><body>to accelerate detection and suppression of current and future COVID-19 outbreaks via research on pandemic modeling, research and animal experiments.</body></html>]]></Public_Descrption>
    <Strategic_Fit><![CDATA[<html><head><meta charset='UTF-8'></head><body><p>The investment aims to support five research teams in China to develop COVID-19 epidemiology models, genetic mechanism of differential susceptibility to novel coronavirus through using the Genetic Diversity Mice, and host correlates of COVID-19 infected patients with atypical symptoms. These studies will match the strategy of COVID-19 by accelerating detection and containment of COVID-19 through pandemic modeling,?promoting vaccine and drug development through animal experiments; and generally enhancing China&#39;s engagement in COVID-19 R&amp;D.</p></body></html>]]></Strategic_Fit>
  </Investment_Description>
  <GRP01>true</GRP01>
  <GRP02>true</GRP02>
  <GRP03>false</GRP03>
  <GRP04>false</GRP04>
  <STR01>false</STR01>
  <STR02>true</STR02>
  <STR03>false</STR03>
  <STR04>false</STR04>
  <STR05>false</STR05>
  <STR06>false</STR06>
  <STR07>false</STR07>
  <STR08>false</STR08>
  <STR09>false</STR09>
  <STR10>false</STR10>
  <STR11>false</STR11>
  <Investment_Managing_Team>GPA</Investment_Managing_Team>
  <Internal_Contract_Fields displayName="Internal Contract Fields" displayValue="Internal Contract Fields">
    <Compensation_and_Fees/>
    <Compensation_and_Fees_Delta>0.00</Compensation_and_Fees_Delta>
    <Compensation_and_Fees_Delta_unformatted>0.00</Compensation_and_Fees_Delta_unformatted>
    <Expenses/>
    <Expenses_Delta>0.00</Expenses_Delta>
    <Expenses_Delta_unformatted>0.00</Expenses_Delta_unformatted>
    <Taxes/>
    <Taxes_Delta>0.00</Taxes_Delta>
    <Taxes_Delta_unformatted>0.00</Taxes_Delta_unformatted>
    <GL_Container displayName="GL" displayValue="GL">
      <GL_Id>a2j1R0000013CAmQAM</GL_Id>
    </GL_Container>
    <Annual_Amounts_Container displayName="Annual Amounts" displayValue="Annual Amounts">
      <Annual_Amounts_Id>a2j1R0000013CAmQAM</Annual_Amounts_Id>
      <Annual_Amounts displayName="" displayValue="">
        <Year>2020</Year>
        <Year_unformatted>2020-06-01T00:00:00.0000000</Year_unformatted>
        <Amount>900,000.00</Amount>
        <Change_AA>0.00</Change_AA>
        <Paid_AA>0.00</Paid_AA>
        <Outstanding_AA>900,000.00</Outstanding_AA>
      </Annual_Amounts>
    </Annual_Amounts_Container>
  </Internal_Contract_Fields>
  <CDC02>false</CDC02>
  <CDC03>false</CDC03>
  <CDC04>false</CDC04>
  <CDC05>false</CDC05>
  <CDC06>false</CDC06>
  <CDC07>false</CDC07>
  <CDC08>false</CDC08>
  <CDC09>false</CDC09>
  <CPC01>false</CPC01>
  <CPC02>false</CPC02>
  <CPC03>false</CPC03>
  <CPC04>false</CPC04>
  <Data_Privacy>false</Data_Privacy>
  <Information_Security>false</Information_Security>
  <Staffing_Independent_Contractor>false</Staffing_Independent_Contractor>
  <Staffing_Onsite>false</Staffing_Onsite>
  <Staffing_Systems>false</Staffing_Systems>
  <Staffing_Temporary_Backfill_Seconded>false</Staffing_Temporary_Backfill_Seconded>
  <Online_Services_Social_Media>false</Online_Services_Social_Media>
  <Online_Services_Software>false</Online_Services_Software>
  <Online_Services_Website>false</Online_Services_Website>
  <Intellectual_Property>false</Intellectual_Property>
  <Technical_Assistance>false</Technical_Assistance>
  <Regulated_Activities>false</Regulated_Activities>
  <Advocacy_Lobbying_Elections>false</Advocacy_Lobbying_Elections>
  <Advocacy_Lobbying_Policy_Legislation>false</Advocacy_Lobbying_Policy_Legislation>
  <Template_Fields displayName="Template Fields" displayValue="Template Fields">
    <In_process_Grant>IN PROCESS GRANT</In_process_Grant>
    <In_process_Contract>IN PROCESS CONTRACT</In_process_Contract>
    <Grant_Header>GRANT</Grant_Header>
  </Template_Fields>
  <ER displayName="ER" displayValue="ER">
    <EXR01_Benefit_From_Work/>
    <EXR1B_Benefit_From_Work_Financially/>
    <EXR02_Project_Addresses_Need/>
    <EXR03_Right_Organization/>
  </ER>
  <Investment_Allocation_Object_Info__Location_of_Work_Container displayName="Investment Allocation Object Info (Location of Work)" displayValue="Investment Allocation Object Info (Location of Work)">
    <Investment_Allocation_Object_Info__Location_of_Work_Id>a2j1R0000013CAmQAM</Investment_Allocation_Object_Info__Location_of_Work_Id>
    <Investment_Allocation_Object_Info__Location_of_Work displayName="" displayValue="">
      <Investment_Allocation_Id__LOW>a3K1R000002eD4HUAU</Investment_Allocation_Id__LOW>
      <INV_Allocation_Number__LOW>INVALC-066005</INV_Allocation_Number__LOW>
      <Allocation_Name__LOW>China</Allocation_Name__LOW>
      <Allocation_Amount__LOW>$900,000.00</Allocation_Amount__LOW>
    </Investment_Allocation_Object_Info__Location_of_Work>
  </Investment_Allocation_Object_Info__Location_of_Work_Container>
  <LOW_Table_Info_Container displayName="LOW Table Info" displayValue="LOW Table Info">
    <LOW_Table_Info_Id>a2j1R0000013CAmQAM</LOW_Table_Info_Id>
    <LOW_Table_Info displayName="" displayValue="">
      <Payment_ID__LOW>PYMT-019589</Payment_ID__LOW>
      <Payment_Date__LOW>June 01, 2020</Payment_Date__LOW>
      <Payment_Date__LOW_unformatted>2020-06-01T00:00:00.0000000</Payment_Date__LOW_unformatted>
    </LOW_Table_Info>
  </LOW_Table_Info_Container>
  <INV_Record_Id>a2j1R0000013CAmQAM</INV_Record_Id>
  <INV_Allocation_Cost_Centers_Container displayName="INV Allocation Cost Centers" displayValue="INV Allocation Cost Centers">
    <INV_Allocation_Cost_Centers_Id>a2j1R0000013CAmQAM</INV_Allocation_Cost_Centers_Id>
    <INV_Allocation_Cost_Centers displayName="" displayValue="">
      <IA_Id>a3K1R000002YQ0hUAG</IA_Id>
      <IA_Type>Cost Center</IA_Type>
      <IA_Subtype/>
      <IA_Allocation_Amount>$900,000.00</IA_Allocation_Amount>
      <IA_Name>INVALC-023720</IA_Name>
    </INV_Allocation_Cost_Centers>
  </INV_Allocation_Cost_Centers_Container>
  <StrategyAllocations_Container displayName="StrategyAllocations" displayValue="StrategyAllocations">
    <StrategyAllocations_Id>a2j1R0000013CAmQAM</StrategyAllocations_Id>
    <StrategyAllocations displayName="" displayValue="">
      <StrategyName>Combat COVID-19 for China and for the World</StrategyName>
      <Strategy_Allocation_Amount>$900,000.00</Strategy_Allocation_Amount>
    </StrategyAllocations>
  </StrategyAllocations_Container>
</TemplateField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TermSync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Description0 xmlns="aaceab04-5e3f-488d-9470-8acf8a96df62" xsi:nil="true"/>
    <Do_x0020_Not_x0020_Distribute xmlns="aaceab04-5e3f-488d-9470-8acf8a96df62" xsi:nil="true"/>
    <Document_x0020_Type xmlns="aaceab04-5e3f-488d-9470-8acf8a96df62" xsi:nil="true"/>
    <Version0 xmlns="aaceab04-5e3f-488d-9470-8acf8a96df62" xsi:nil="true"/>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1E7CA9B29A0EE34A937F104860C9C7B6" ma:contentTypeVersion="9" ma:contentTypeDescription="Create a new document." ma:contentTypeScope="" ma:versionID="4c7f5885abcfb9bf1456932ebd5e641b">
  <xsd:schema xmlns:xsd="http://www.w3.org/2001/XMLSchema" xmlns:xs="http://www.w3.org/2001/XMLSchema" xmlns:p="http://schemas.microsoft.com/office/2006/metadata/properties" xmlns:ns2="aaceab04-5e3f-488d-9470-8acf8a96df62" targetNamespace="http://schemas.microsoft.com/office/2006/metadata/properties" ma:root="true" ma:fieldsID="2c8f16a0944bf911e2fd346cf40eed19" ns2:_="">
    <xsd:import namespace="aaceab04-5e3f-488d-9470-8acf8a96df62"/>
    <xsd:element name="properties">
      <xsd:complexType>
        <xsd:sequence>
          <xsd:element name="documentManagement">
            <xsd:complexType>
              <xsd:all>
                <xsd:element ref="ns2:Do_x0020_Not_x0020_Distribute" minOccurs="0"/>
                <xsd:element ref="ns2:Description0" minOccurs="0"/>
                <xsd:element ref="ns2:Document_x0020_Type" minOccurs="0"/>
                <xsd:element ref="ns2:Version0"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eab04-5e3f-488d-9470-8acf8a96df62" elementFormDefault="qualified">
    <xsd:import namespace="http://schemas.microsoft.com/office/2006/documentManagement/types"/>
    <xsd:import namespace="http://schemas.microsoft.com/office/infopath/2007/PartnerControls"/>
    <xsd:element name="Do_x0020_Not_x0020_Distribute" ma:index="8" nillable="true" ma:displayName="Do Not Distribute" ma:internalName="Do_x0020_Not_x0020_Distribute">
      <xsd:simpleType>
        <xsd:restriction base="dms:Boolean"/>
      </xsd:simpleType>
    </xsd:element>
    <xsd:element name="Description0" ma:index="10" nillable="true" ma:displayName="Description" ma:internalName="Description0">
      <xsd:simpleType>
        <xsd:restriction base="dms:Note">
          <xsd:maxLength value="255"/>
        </xsd:restriction>
      </xsd:simpleType>
    </xsd:element>
    <xsd:element name="Document_x0020_Type" ma:index="11" nillable="true" ma:displayName="Document Type" ma:format="Dropdown" ma:internalName="Document_x0020_Type">
      <xsd:simpleType>
        <xsd:union memberTypes="dms:Text">
          <xsd:simpleType>
            <xsd:restriction base="dms:Choice">
              <xsd:enumeration value="Amendment"/>
              <xsd:enumeration value="Budget"/>
              <xsd:enumeration value="Deliverable/Milestone"/>
              <xsd:enumeration value="Due Diligence"/>
              <xsd:enumeration value="Final Report"/>
              <xsd:enumeration value="Gender Integration Marker"/>
              <xsd:enumeration value="Progress Report"/>
              <xsd:enumeration value="Proposal"/>
              <xsd:enumeration value="Results Framework &amp; Tracker"/>
              <xsd:enumeration value="Investment Record Snapshot"/>
            </xsd:restriction>
          </xsd:simpleType>
        </xsd:union>
      </xsd:simpleType>
    </xsd:element>
    <xsd:element name="Version0" ma:index="12" nillable="true" ma:displayName="Version" ma:format="Dropdown" ma:internalName="Version0">
      <xsd:simpleType>
        <xsd:restriction base="dms:Choice">
          <xsd:enumeration value="Draft"/>
          <xsd:enumeration value="Final"/>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5B8BF3-86AA-4FE0-AC94-03D345555724}">
  <ds:schemaRefs/>
</ds:datastoreItem>
</file>

<file path=customXml/itemProps3.xml><?xml version="1.0" encoding="utf-8"?>
<ds:datastoreItem xmlns:ds="http://schemas.openxmlformats.org/officeDocument/2006/customXml" ds:itemID="{259D3884-BC14-45D9-B45E-D81D3DABF494}">
  <ds:schemaRefs/>
</ds:datastoreItem>
</file>

<file path=customXml/itemProps4.xml><?xml version="1.0" encoding="utf-8"?>
<ds:datastoreItem xmlns:ds="http://schemas.openxmlformats.org/officeDocument/2006/customXml" ds:itemID="{A4B31E17-D7CA-4383-B05A-93515B2C5D0D}">
  <ds:schemaRefs/>
</ds:datastoreItem>
</file>

<file path=customXml/itemProps5.xml><?xml version="1.0" encoding="utf-8"?>
<ds:datastoreItem xmlns:ds="http://schemas.openxmlformats.org/officeDocument/2006/customXml" ds:itemID="{61F57B4B-1286-4A13-BD30-DE8B068E7169}">
  <ds:schemaRefs/>
</ds:datastoreItem>
</file>

<file path=customXml/itemProps6.xml><?xml version="1.0" encoding="utf-8"?>
<ds:datastoreItem xmlns:ds="http://schemas.openxmlformats.org/officeDocument/2006/customXml" ds:itemID="{C86CBD69-BFAC-4C79-BD63-0C5041141D5B}">
  <ds:schemaRefs/>
</ds:datastoreItem>
</file>

<file path=customXml/itemProps7.xml><?xml version="1.0" encoding="utf-8"?>
<ds:datastoreItem xmlns:ds="http://schemas.openxmlformats.org/officeDocument/2006/customXml" ds:itemID="{89DC439A-97A1-4D2A-82C2-E7DDDE46CFB7}">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212</Words>
  <Characters>177</Characters>
  <Lines>1</Lines>
  <Paragraphs>1</Paragraphs>
  <TotalTime>0</TotalTime>
  <ScaleCrop>false</ScaleCrop>
  <LinksUpToDate>false</LinksUpToDate>
  <CharactersWithSpaces>388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2022-04-20T12:56:00Z</dcterms:created>
  <dc:creator>Cody Benedict</dc:creator>
  <cp:lastModifiedBy>张一唯</cp:lastModifiedBy>
  <cp:lastPrinted>2024-08-14T09:17:00Z</cp:lastPrinted>
  <dcterms:modified xsi:type="dcterms:W3CDTF">2024-08-14T09:18:47Z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0x0101001E7CA9B29A0EE34A937F104860C9C7B6</vt:lpwstr>
  </property>
  <property fmtid="{D5CDD505-2E9C-101B-9397-08002B2CF9AE}" pid="3" name="KSOProductBuildVer">
    <vt:lpwstr>2052-11.8.2.8506</vt:lpwstr>
  </property>
  <property fmtid="{D5CDD505-2E9C-101B-9397-08002B2CF9AE}" pid="4" name="ICV">
    <vt:lpwstr>AA4D3AB577D8419FB1B3A7BB0AA1F134</vt:lpwstr>
  </property>
</Properties>
</file>